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rPr>
          <w:rFonts w:ascii="Times New Roman" w:cs="Times New Roman" w:eastAsia="Times New Roman" w:hAnsi="Times New Roman"/>
          <w:sz w:val="24"/>
          <w:szCs w:val="24"/>
        </w:rPr>
        <w:t xml:space="preserve"/>
      </w:r>
    </w:p>
    <w:p>
      <w:pPr>
        <w:spacing w:after="600"/>
      </w:pPr>
      <w:r>
        <w:rPr>
          <w:rFonts w:ascii="Times New Roman" w:cs="Times New Roman" w:eastAsia="Times New Roman" w:hAnsi="Times New Roman"/>
          <w:sz w:val="24"/>
          <w:szCs w:val="24"/>
        </w:rPr>
        <w:t xml:space="preserve"/>
      </w:r>
    </w:p>
    <w:p>
      <w:pPr>
        <w:spacing w:after="600"/>
      </w:pPr>
      <w:r>
        <w:rPr>
          <w:rFonts w:ascii="Times New Roman" w:cs="Times New Roman" w:eastAsia="Times New Roman" w:hAnsi="Times New Roman"/>
          <w:sz w:val="24"/>
          <w:szCs w:val="24"/>
        </w:rPr>
        <w:t xml:space="preserve"/>
      </w:r>
    </w:p>
    <w:p>
      <w:pPr>
        <w:spacing w:after="600"/>
      </w:pPr>
      <w:r>
        <w:rPr>
          <w:rFonts w:ascii="Times New Roman" w:cs="Times New Roman" w:eastAsia="Times New Roman" w:hAnsi="Times New Roman"/>
          <w:sz w:val="24"/>
          <w:szCs w:val="24"/>
        </w:rPr>
        <w:t xml:space="preserve"/>
      </w:r>
    </w:p>
    <w:p>
      <w:pPr>
        <w:spacing w:after="200"/>
        <w:jc w:val="center"/>
      </w:pPr>
      <w:r>
        <w:rPr>
          <w:rFonts w:ascii="Times New Roman" w:cs="Times New Roman" w:eastAsia="Times New Roman" w:hAnsi="Times New Roman"/>
          <w:b/>
          <w:bCs/>
          <w:i w:val="false"/>
          <w:iCs w:val="false"/>
          <w:sz w:val="48"/>
          <w:szCs w:val="48"/>
        </w:rPr>
        <w:t xml:space="preserve">LES STATUTS DE LA SOCIETE</w:t>
      </w:r>
    </w:p>
    <w:p>
      <w:pPr>
        <w:spacing w:after="200"/>
        <w:jc w:val="center"/>
      </w:pPr>
      <w:r>
        <w:rPr>
          <w:rFonts w:ascii="Times New Roman" w:cs="Times New Roman" w:eastAsia="Times New Roman" w:hAnsi="Times New Roman"/>
          <w:b/>
          <w:bCs/>
          <w:i w:val="false"/>
          <w:iCs w:val="false"/>
          <w:sz w:val="48"/>
          <w:szCs w:val="48"/>
        </w:rPr>
        <w:t xml:space="preserve">« {denomination_complete} »</w:t>
      </w:r>
    </w:p>
    <w:p>
      <w:r>
        <w:br w:type="page"/>
      </w:r>
    </w:p>
    <w:p>
      <w:pPr>
        <w:sectPr>
          <w:pgSz w:w="11906" w:h="16838" w:orient="portrait"/>
          <w:pgMar w:top="1137" w:right="849" w:bottom="1137" w:left="849" w:header="708" w:footer="708" w:gutter="0"/>
          <w:pgNumType/>
          <w:docGrid w:linePitch="360"/>
        </w:sectPr>
      </w:pPr>
    </w:p>
    <w:p>
      <w:pPr>
        <w:spacing w:after="200"/>
      </w:pPr>
      <w:r>
        <w:rPr>
          <w:rFonts w:ascii="Times New Roman" w:cs="Times New Roman" w:eastAsia="Times New Roman" w:hAnsi="Times New Roman"/>
          <w:sz w:val="24"/>
          <w:szCs w:val="24"/>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000000" w:sz="1"/>
              <w:left w:val="single" w:color="000000" w:sz="1"/>
              <w:bottom w:val="single" w:color="000000" w:sz="1"/>
              <w:right w:val="single" w:color="000000" w:sz="1"/>
            </w:tcBorders>
          </w:tcPr>
          <w:p>
            <w:pPr>
              <w:spacing w:after="120"/>
              <w:jc w:val="center"/>
            </w:pPr>
            <w:r>
              <w:rPr>
                <w:rFonts w:ascii="Times New Roman" w:cs="Times New Roman" w:eastAsia="Times New Roman" w:hAnsi="Times New Roman"/>
                <w:b/>
                <w:bCs/>
                <w:i w:val="false"/>
                <w:iCs w:val="false"/>
                <w:sz w:val="24"/>
                <w:szCs w:val="24"/>
              </w:rPr>
              <w:t xml:space="preserve">Modèle Type utilisable et adaptable, conforme aux dispositions en vigueur de l'Acte uniforme révisé de l'OHADA du 30 janvier 2014 relatif au Droit des Sociétés commerciales et du Groupement d'Intérêt Economique</w:t>
            </w:r>
          </w:p>
          <w:p>
            <w:pPr>
              <w:spacing w:after="120"/>
              <w:jc w:val="center"/>
            </w:pPr>
            <w:r>
              <w:rPr>
                <w:rFonts w:ascii="Times New Roman" w:cs="Times New Roman" w:eastAsia="Times New Roman" w:hAnsi="Times New Roman"/>
                <w:b/>
                <w:bCs/>
                <w:i w:val="false"/>
                <w:iCs w:val="false"/>
                <w:sz w:val="24"/>
                <w:szCs w:val="24"/>
              </w:rPr>
              <w:t xml:space="preserve">STATUT TYPE SOUS SEING PRIVE</w:t>
            </w:r>
          </w:p>
          <w:p>
            <w:pPr>
              <w:spacing w:after="60"/>
              <w:jc w:val="center"/>
            </w:pPr>
            <w:r>
              <w:rPr>
                <w:rFonts w:ascii="Times New Roman" w:cs="Times New Roman" w:eastAsia="Times New Roman" w:hAnsi="Times New Roman"/>
                <w:b/>
                <w:bCs/>
                <w:i w:val="false"/>
                <w:iCs w:val="false"/>
                <w:sz w:val="24"/>
                <w:szCs w:val="24"/>
              </w:rPr>
              <w:t xml:space="preserve">Cas d'une Société à Responsabilité Limitée comportant un seul associé et constituée exclusivement par apports en numéraire</w:t>
            </w:r>
          </w:p>
        </w:tc>
      </w:tr>
    </w:tbl>
    <w:p>
      <w:pPr>
        <w:spacing w:after="200"/>
      </w:pPr>
      <w:r>
        <w:rPr>
          <w:rFonts w:ascii="Times New Roman" w:cs="Times New Roman" w:eastAsia="Times New Roman" w:hAnsi="Times New Roman"/>
          <w:sz w:val="24"/>
          <w:szCs w:val="24"/>
        </w:rPr>
        <w:t xml:space="preserve"/>
      </w:r>
    </w:p>
    <w:p>
      <w:pPr>
        <w:spacing w:after="120"/>
        <w:jc w:val="left"/>
      </w:pPr>
      <w:r>
        <w:rPr>
          <w:rFonts w:ascii="Times New Roman" w:cs="Times New Roman" w:eastAsia="Times New Roman" w:hAnsi="Times New Roman"/>
          <w:b/>
          <w:bCs/>
          <w:i w:val="false"/>
          <w:iCs w:val="false"/>
          <w:sz w:val="24"/>
          <w:szCs w:val="24"/>
          <w:u w:val="single"/>
        </w:rPr>
        <w:t xml:space="preserve">N.B : Indications d'utilisation</w:t>
      </w:r>
    </w:p>
    <w:p>
      <w:pPr>
        <w:spacing w:after="120"/>
        <w:jc w:val="both"/>
      </w:pPr>
      <w:r>
        <w:rPr>
          <w:rFonts w:ascii="Times New Roman" w:cs="Times New Roman" w:eastAsia="Times New Roman" w:hAnsi="Times New Roman"/>
          <w:b w:val="false"/>
          <w:bCs w:val="false"/>
          <w:i w:val="false"/>
          <w:iCs w:val="false"/>
          <w:sz w:val="24"/>
          <w:szCs w:val="24"/>
        </w:rPr>
        <w:t xml:space="preserve">Ce cas de figure courant a été conçu pour faciliter et encadrer le processus de création d'entreprise pour une meilleure sécurisation des opérateurs économiques.</w:t>
      </w:r>
    </w:p>
    <w:p>
      <w:pPr>
        <w:spacing w:after="120"/>
      </w:pPr>
      <w:r>
        <w:rPr>
          <w:rFonts w:ascii="Times New Roman" w:cs="Times New Roman" w:eastAsia="Times New Roman" w:hAnsi="Times New Roman"/>
          <w:sz w:val="24"/>
          <w:szCs w:val="24"/>
        </w:rPr>
        <w:t xml:space="preserve"/>
      </w:r>
    </w:p>
    <w:p>
      <w:pPr>
        <w:spacing w:after="120"/>
        <w:ind w:left="360"/>
        <w:jc w:val="both"/>
      </w:pPr>
      <w:r>
        <w:rPr>
          <w:rFonts w:ascii="Times New Roman" w:cs="Times New Roman" w:eastAsia="Times New Roman" w:hAnsi="Times New Roman"/>
          <w:b w:val="false"/>
          <w:bCs w:val="false"/>
          <w:i w:val="false"/>
          <w:iCs w:val="false"/>
          <w:sz w:val="24"/>
          <w:szCs w:val="24"/>
        </w:rPr>
        <w:t xml:space="preserve">1. les espaces en pointillé sont des champs à remplir et à adapter à partir des informations décrites dans les parenthèses qui suivent ;</w:t>
      </w:r>
    </w:p>
    <w:p>
      <w:pPr>
        <w:spacing w:after="120"/>
      </w:pPr>
      <w:r>
        <w:rPr>
          <w:rFonts w:ascii="Times New Roman" w:cs="Times New Roman" w:eastAsia="Times New Roman" w:hAnsi="Times New Roman"/>
          <w:sz w:val="24"/>
          <w:szCs w:val="24"/>
        </w:rPr>
        <w:t xml:space="preserve"/>
      </w:r>
    </w:p>
    <w:p>
      <w:pPr>
        <w:spacing w:after="120"/>
        <w:ind w:left="360"/>
        <w:jc w:val="both"/>
      </w:pPr>
      <w:r>
        <w:rPr>
          <w:rFonts w:ascii="Times New Roman" w:cs="Times New Roman" w:eastAsia="Times New Roman" w:hAnsi="Times New Roman"/>
          <w:b w:val="false"/>
          <w:bCs w:val="false"/>
          <w:i w:val="false"/>
          <w:iCs w:val="false"/>
          <w:sz w:val="24"/>
          <w:szCs w:val="24"/>
        </w:rPr>
        <w:t xml:space="preserve">2. établir les statuts en nombre suffisant pour la remise d'un exemplaire original à chaque associé, le dépôt d'un exemplaire au siège social, et l'accomplissement des formalités de constitution.</w:t>
      </w:r>
    </w:p>
    <w:p>
      <w:pPr>
        <w:spacing w:after="600"/>
      </w:pPr>
      <w:r>
        <w:rPr>
          <w:rFonts w:ascii="Times New Roman" w:cs="Times New Roman" w:eastAsia="Times New Roman" w:hAnsi="Times New Roman"/>
          <w:sz w:val="24"/>
          <w:szCs w:val="24"/>
        </w:rPr>
        <w:t xml:space="preserve"/>
      </w:r>
    </w:p>
    <w:p>
      <w:pPr>
        <w:spacing w:after="60"/>
        <w:jc w:val="center"/>
      </w:pPr>
      <w:r>
        <w:rPr>
          <w:rFonts w:ascii="Times New Roman" w:cs="Times New Roman" w:eastAsia="Times New Roman" w:hAnsi="Times New Roman"/>
          <w:b/>
          <w:bCs/>
          <w:i w:val="false"/>
          <w:iCs w:val="false"/>
          <w:sz w:val="28"/>
          <w:szCs w:val="28"/>
        </w:rPr>
        <w:t xml:space="preserve">SARL unipersonnelle constituée exclusivement</w:t>
      </w:r>
    </w:p>
    <w:p>
      <w:pPr>
        <w:spacing w:after="200"/>
        <w:jc w:val="center"/>
      </w:pPr>
      <w:r>
        <w:rPr>
          <w:rFonts w:ascii="Times New Roman" w:cs="Times New Roman" w:eastAsia="Times New Roman" w:hAnsi="Times New Roman"/>
          <w:b/>
          <w:bCs/>
          <w:i w:val="false"/>
          <w:iCs w:val="false"/>
          <w:sz w:val="28"/>
          <w:szCs w:val="28"/>
        </w:rPr>
        <w:t xml:space="preserve">par apports en numéraire</w:t>
      </w:r>
    </w:p>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000000" w:sz="1"/>
              <w:left w:val="single" w:color="000000" w:sz="1"/>
              <w:bottom w:val="single" w:color="000000" w:sz="1"/>
              <w:right w:val="single" w:color="000000" w:sz="1"/>
            </w:tcBorders>
          </w:tcPr>
          <w:p>
            <w:pPr>
              <w:spacing w:after="60"/>
              <w:jc w:val="center"/>
            </w:pPr>
            <w:r>
              <w:rPr>
                <w:rFonts w:ascii="Times New Roman" w:cs="Times New Roman" w:eastAsia="Times New Roman" w:hAnsi="Times New Roman"/>
                <w:b/>
                <w:bCs/>
                <w:i w:val="false"/>
                <w:iCs w:val="false"/>
                <w:sz w:val="24"/>
                <w:szCs w:val="24"/>
              </w:rPr>
              <w:t xml:space="preserve">STATUTS DE LA SOCIETE A RESPONSABILITE LIMITEE DENOMMEE</w:t>
            </w:r>
          </w:p>
          <w:p>
            <w:pPr>
              <w:spacing w:after="120"/>
              <w:jc w:val="center"/>
            </w:pPr>
            <w:r>
              <w:rPr>
                <w:rFonts w:ascii="Times New Roman" w:cs="Times New Roman" w:eastAsia="Times New Roman" w:hAnsi="Times New Roman"/>
                <w:b/>
                <w:bCs/>
                <w:i w:val="false"/>
                <w:iCs w:val="false"/>
                <w:sz w:val="24"/>
                <w:szCs w:val="24"/>
              </w:rPr>
              <w:t xml:space="preserve">«{denomination_complete}</w:t>
            </w:r>
          </w:p>
          <w:p>
            <w:pPr>
              <w:spacing w:after="60"/>
              <w:jc w:val="center"/>
            </w:pPr>
            <w:r>
              <w:rPr>
                <w:rFonts w:ascii="Times New Roman" w:cs="Times New Roman" w:eastAsia="Times New Roman" w:hAnsi="Times New Roman"/>
                <w:b/>
                <w:bCs/>
                <w:i w:val="false"/>
                <w:iCs w:val="false"/>
                <w:sz w:val="24"/>
                <w:szCs w:val="24"/>
              </w:rPr>
              <w:t xml:space="preserve">AYANT SON SIEGE SOCIAL A {ville}</w:t>
            </w:r>
          </w:p>
          <w:p>
            <w:pPr>
              <w:spacing w:after="60"/>
              <w:jc w:val="center"/>
            </w:pPr>
            <w:r>
              <w:rPr>
                <w:rFonts w:ascii="Times New Roman" w:cs="Times New Roman" w:eastAsia="Times New Roman" w:hAnsi="Times New Roman"/>
                <w:b/>
                <w:bCs/>
                <w:i w:val="false"/>
                <w:iCs w:val="false"/>
                <w:sz w:val="24"/>
                <w:szCs w:val="24"/>
              </w:rPr>
              <w:t xml:space="preserve">{siege_social_complet}</w:t>
            </w:r>
          </w:p>
        </w:tc>
      </w:tr>
    </w:tbl>
    <w:p>
      <w:pPr>
        <w:spacing w:after="200"/>
      </w:pPr>
      <w:r>
        <w:rPr>
          <w:rFonts w:ascii="Times New Roman" w:cs="Times New Roman" w:eastAsia="Times New Roman" w:hAnsi="Times New Roman"/>
          <w:sz w:val="24"/>
          <w:szCs w:val="24"/>
        </w:rPr>
        <w:t xml:space="preserve"/>
      </w:r>
    </w:p>
    <w:p>
      <w:pPr>
        <w:spacing w:after="120"/>
        <w:jc w:val="left"/>
      </w:pPr>
      <w:r>
        <w:rPr>
          <w:rFonts w:ascii="Times New Roman" w:cs="Times New Roman" w:eastAsia="Times New Roman" w:hAnsi="Times New Roman"/>
          <w:b w:val="false"/>
          <w:bCs w:val="false"/>
          <w:i w:val="false"/>
          <w:iCs w:val="false"/>
          <w:sz w:val="24"/>
          <w:szCs w:val="24"/>
        </w:rPr>
        <w:t xml:space="preserve">L'An {annee_lettres},</w:t>
      </w:r>
    </w:p>
    <w:p>
      <w:pPr>
        <w:spacing w:after="120"/>
      </w:pPr>
      <w:r>
        <w:rPr>
          <w:rFonts w:ascii="Times New Roman" w:cs="Times New Roman" w:eastAsia="Times New Roman" w:hAnsi="Times New Roman"/>
          <w:sz w:val="24"/>
          <w:szCs w:val="24"/>
        </w:rPr>
        <w:t xml:space="preserve"/>
      </w:r>
    </w:p>
    <w:p>
      <w:pPr>
        <w:spacing w:after="120"/>
        <w:jc w:val="left"/>
      </w:pPr>
      <w:r>
        <w:rPr>
          <w:rFonts w:ascii="Times New Roman" w:cs="Times New Roman" w:eastAsia="Times New Roman" w:hAnsi="Times New Roman"/>
          <w:b w:val="false"/>
          <w:bCs w:val="false"/>
          <w:i w:val="false"/>
          <w:iCs w:val="false"/>
          <w:sz w:val="24"/>
          <w:szCs w:val="24"/>
        </w:rPr>
        <w:t xml:space="preserve">Le {date_constitution}</w:t>
      </w:r>
    </w:p>
    <w:p>
      <w:pPr>
        <w:spacing w:after="120"/>
      </w:pPr>
      <w:r>
        <w:rPr>
          <w:rFonts w:ascii="Times New Roman" w:cs="Times New Roman" w:eastAsia="Times New Roman" w:hAnsi="Times New Roman"/>
          <w:sz w:val="24"/>
          <w:szCs w:val="24"/>
        </w:rPr>
        <w:t xml:space="preserve"/>
      </w:r>
    </w:p>
    <w:p>
      <w:pPr>
        <w:spacing w:after="120"/>
        <w:jc w:val="both"/>
      </w:pPr>
      <w:r>
        <w:rPr>
          <w:rFonts w:ascii="Times New Roman" w:cs="Times New Roman" w:eastAsia="Times New Roman" w:hAnsi="Times New Roman"/>
          <w:b w:val="false"/>
          <w:bCs w:val="false"/>
          <w:i w:val="false"/>
          <w:iCs w:val="false"/>
          <w:sz w:val="24"/>
          <w:szCs w:val="24"/>
        </w:rPr>
        <w:t xml:space="preserve">{associe_civilite} </w:t>
      </w:r>
      <w:r>
        <w:rPr>
          <w:rFonts w:ascii="Times New Roman" w:cs="Times New Roman" w:eastAsia="Times New Roman" w:hAnsi="Times New Roman"/>
          <w:b/>
          <w:bCs/>
          <w:i w:val="false"/>
          <w:iCs w:val="false"/>
          <w:sz w:val="24"/>
          <w:szCs w:val="24"/>
        </w:rPr>
        <w:t xml:space="preserve">{associe_nom_complet}</w:t>
      </w:r>
      <w:r>
        <w:rPr>
          <w:rFonts w:ascii="Times New Roman" w:cs="Times New Roman" w:eastAsia="Times New Roman" w:hAnsi="Times New Roman"/>
          <w:b w:val="false"/>
          <w:bCs w:val="false"/>
          <w:i w:val="false"/>
          <w:iCs w:val="false"/>
          <w:sz w:val="24"/>
          <w:szCs w:val="24"/>
        </w:rPr>
        <w:t xml:space="preserve">, {associe_profession}, résident à {associe_ville_residence} de nationalité {associe_nationalite} née le {associe_date_naissance} à {associe_lieu_naissance} et titulaire de la {type_identite} {numero_identite} délivré le {date_delivrance_id} et valable {date_validite_id} par {lieu_delivrance_id}.</w:t>
      </w:r>
    </w:p>
    <w:p>
      <w:pPr>
        <w:spacing w:after="200"/>
      </w:pPr>
      <w:r>
        <w:rPr>
          <w:rFonts w:ascii="Times New Roman" w:cs="Times New Roman" w:eastAsia="Times New Roman" w:hAnsi="Times New Roman"/>
          <w:sz w:val="24"/>
          <w:szCs w:val="24"/>
        </w:rPr>
        <w:t xml:space="preserve"/>
      </w:r>
    </w:p>
    <w:p>
      <w:pPr>
        <w:spacing w:after="120"/>
        <w:jc w:val="left"/>
      </w:pPr>
      <w:r>
        <w:rPr>
          <w:rFonts w:ascii="Times New Roman" w:cs="Times New Roman" w:eastAsia="Times New Roman" w:hAnsi="Times New Roman"/>
          <w:b w:val="false"/>
          <w:bCs w:val="false"/>
          <w:i w:val="false"/>
          <w:iCs w:val="false"/>
          <w:sz w:val="24"/>
          <w:szCs w:val="24"/>
        </w:rPr>
        <w:t xml:space="preserve">Le soussigné,</w:t>
      </w:r>
    </w:p>
    <w:p>
      <w:pPr>
        <w:spacing w:after="120"/>
        <w:jc w:val="both"/>
      </w:pPr>
      <w:r>
        <w:rPr>
          <w:rFonts w:ascii="Times New Roman" w:cs="Times New Roman" w:eastAsia="Times New Roman" w:hAnsi="Times New Roman"/>
          <w:b/>
          <w:bCs/>
          <w:i w:val="false"/>
          <w:iCs w:val="false"/>
          <w:sz w:val="24"/>
          <w:szCs w:val="24"/>
        </w:rPr>
        <w:t xml:space="preserve">A établi par les présentes, les statuts de la Société à Responsabilité Limitée dont la teneur suit :</w:t>
      </w:r>
    </w:p>
    <w:p>
      <w:pPr>
        <w:spacing w:after="120"/>
      </w:pPr>
      <w:r>
        <w:rPr>
          <w:rFonts w:ascii="Times New Roman" w:cs="Times New Roman" w:eastAsia="Times New Roman" w:hAnsi="Times New Roman"/>
          <w:sz w:val="24"/>
          <w:szCs w:val="24"/>
        </w:rPr>
        <w:t xml:space="preserve"/>
      </w:r>
    </w:p>
    <w:p>
      <w:pPr>
        <w:spacing w:before="360" w:after="240"/>
        <w:jc w:val="center"/>
      </w:pPr>
      <w:r>
        <w:rPr>
          <w:rFonts w:ascii="Times New Roman" w:cs="Times New Roman" w:eastAsia="Times New Roman" w:hAnsi="Times New Roman"/>
          <w:b/>
          <w:bCs/>
          <w:i w:val="false"/>
          <w:iCs w:val="false"/>
          <w:sz w:val="28"/>
          <w:szCs w:val="28"/>
        </w:rPr>
        <w:t xml:space="preserve">TITRE I : DISPOSITIONS GENERALES</w:t>
      </w:r>
    </w:p>
    <w:p>
      <w:pPr>
        <w:spacing w:before="240" w:after="120"/>
        <w:jc w:val="left"/>
      </w:pPr>
      <w:r>
        <w:rPr>
          <w:rFonts w:ascii="Times New Roman" w:cs="Times New Roman" w:eastAsia="Times New Roman" w:hAnsi="Times New Roman"/>
          <w:b/>
          <w:bCs/>
          <w:i w:val="false"/>
          <w:iCs w:val="false"/>
          <w:sz w:val="24"/>
          <w:szCs w:val="24"/>
          <w:u w:val="single"/>
        </w:rPr>
        <w:t xml:space="preserve">ARTICLE 1- FORME</w:t>
      </w:r>
    </w:p>
    <w:p>
      <w:pPr>
        <w:spacing w:after="120"/>
        <w:jc w:val="both"/>
      </w:pPr>
      <w:r>
        <w:rPr>
          <w:rFonts w:ascii="Times New Roman" w:cs="Times New Roman" w:eastAsia="Times New Roman" w:hAnsi="Times New Roman"/>
          <w:b w:val="false"/>
          <w:bCs w:val="false"/>
          <w:i w:val="false"/>
          <w:iCs w:val="false"/>
          <w:sz w:val="24"/>
          <w:szCs w:val="24"/>
        </w:rPr>
        <w:t xml:space="preserve">Il est constitué par le soussigné, une Société à Responsabilité Limitée unipersonnelle devant exister entre lui et tous propriétaires de parts sociales ultérieures, qui sera régie par l'Acte Uniforme révisé de l'OHADA du 30 janvier 2014 relatif au droit des Sociétés commerciales et du Groupement d'intérêt économique (GIE), ainsi que par toutes autres dispositions légales ou réglementaires applicables et les présents statuts.</w:t>
      </w:r>
    </w:p>
    <w:p>
      <w:pPr>
        <w:spacing w:before="240" w:after="120"/>
        <w:jc w:val="left"/>
      </w:pPr>
      <w:r>
        <w:rPr>
          <w:rFonts w:ascii="Times New Roman" w:cs="Times New Roman" w:eastAsia="Times New Roman" w:hAnsi="Times New Roman"/>
          <w:b/>
          <w:bCs/>
          <w:i w:val="false"/>
          <w:iCs w:val="false"/>
          <w:sz w:val="24"/>
          <w:szCs w:val="24"/>
          <w:u w:val="single"/>
        </w:rPr>
        <w:t xml:space="preserve">ARTICLE 2- DENOMINATION</w:t>
      </w:r>
    </w:p>
    <w:p>
      <w:pPr>
        <w:spacing w:after="120"/>
        <w:jc w:val="both"/>
      </w:pPr>
      <w:r>
        <w:rPr>
          <w:rFonts w:ascii="Times New Roman" w:cs="Times New Roman" w:eastAsia="Times New Roman" w:hAnsi="Times New Roman"/>
          <w:b w:val="false"/>
          <w:bCs w:val="false"/>
          <w:i w:val="false"/>
          <w:iCs w:val="false"/>
          <w:sz w:val="24"/>
          <w:szCs w:val="24"/>
        </w:rPr>
        <w:t xml:space="preserve">La société a pour dénomination : </w:t>
      </w:r>
      <w:r>
        <w:rPr>
          <w:rFonts w:ascii="Times New Roman" w:cs="Times New Roman" w:eastAsia="Times New Roman" w:hAnsi="Times New Roman"/>
          <w:b/>
          <w:bCs/>
          <w:i w:val="false"/>
          <w:iCs w:val="false"/>
          <w:sz w:val="24"/>
          <w:szCs w:val="24"/>
        </w:rPr>
        <w:t xml:space="preserve">{denomination_complete}</w:t>
      </w:r>
    </w:p>
    <w:p>
      <w:pPr>
        <w:spacing w:after="120"/>
        <w:jc w:val="both"/>
      </w:pPr>
      <w:r>
        <w:rPr>
          <w:rFonts w:ascii="Times New Roman" w:cs="Times New Roman" w:eastAsia="Times New Roman" w:hAnsi="Times New Roman"/>
          <w:b w:val="false"/>
          <w:bCs w:val="false"/>
          <w:i w:val="false"/>
          <w:iCs w:val="false"/>
          <w:sz w:val="24"/>
          <w:szCs w:val="24"/>
        </w:rPr>
        <w:t xml:space="preserve">La dénomination sociale doit figurer sur tous les actes et documents émanant de la société et destinés aux tiers, notamment les lettres, les factures, les annonces et publications diverses.</w:t>
      </w:r>
    </w:p>
    <w:p>
      <w:pPr>
        <w:spacing w:after="120"/>
        <w:jc w:val="both"/>
      </w:pPr>
      <w:r>
        <w:rPr>
          <w:rFonts w:ascii="Times New Roman" w:cs="Times New Roman" w:eastAsia="Times New Roman" w:hAnsi="Times New Roman"/>
          <w:b w:val="false"/>
          <w:bCs w:val="false"/>
          <w:i w:val="false"/>
          <w:iCs w:val="false"/>
          <w:sz w:val="24"/>
          <w:szCs w:val="24"/>
        </w:rPr>
        <w:t xml:space="preserve">Elle doit être précédée ou suivie immédiatement en caractère lisible de l'indication Société à Responsabilité Limitée ou SARL unipersonnelle, du montant de son capital social, de l'adresse de son siège social et de la mention de son immatriculation au registre du commerce et du Crédit Mobilier.</w:t>
      </w:r>
    </w:p>
    <w:p>
      <w:pPr>
        <w:spacing w:before="240" w:after="120"/>
        <w:jc w:val="left"/>
      </w:pPr>
      <w:r>
        <w:rPr>
          <w:rFonts w:ascii="Times New Roman" w:cs="Times New Roman" w:eastAsia="Times New Roman" w:hAnsi="Times New Roman"/>
          <w:b/>
          <w:bCs/>
          <w:i w:val="false"/>
          <w:iCs w:val="false"/>
          <w:sz w:val="24"/>
          <w:szCs w:val="24"/>
          <w:u w:val="single"/>
        </w:rPr>
        <w:t xml:space="preserve">ARTICLE 3- OBJET</w:t>
      </w:r>
    </w:p>
    <w:p>
      <w:pPr>
        <w:spacing w:after="120"/>
        <w:jc w:val="both"/>
      </w:pPr>
      <w:r>
        <w:rPr>
          <w:rFonts w:ascii="Times New Roman" w:cs="Times New Roman" w:eastAsia="Times New Roman" w:hAnsi="Times New Roman"/>
          <w:b w:val="false"/>
          <w:bCs w:val="false"/>
          <w:i w:val="false"/>
          <w:iCs w:val="false"/>
          <w:sz w:val="24"/>
          <w:szCs w:val="24"/>
        </w:rPr>
        <w:t xml:space="preserve">La société a pour objet en COTE D'IVOIRE :</w:t>
      </w:r>
    </w:p>
    <w:p>
      <w:pPr>
        <w:spacing w:after="120"/>
        <w:jc w:val="both"/>
      </w:pPr>
      <w:r>
        <w:rPr>
          <w:rFonts w:ascii="Times New Roman" w:cs="Times New Roman" w:eastAsia="Times New Roman" w:hAnsi="Times New Roman"/>
          <w:b/>
          <w:bCs/>
          <w:i w:val="false"/>
          <w:iCs w:val="false"/>
          <w:sz w:val="24"/>
          <w:szCs w:val="24"/>
        </w:rPr>
        <w:t xml:space="preserve">{objet_social}</w:t>
      </w:r>
    </w:p>
    <w:p>
      <w:pPr>
        <w:spacing w:after="120"/>
        <w:jc w:val="both"/>
      </w:pPr>
      <w:r>
        <w:rPr>
          <w:rFonts w:ascii="Times New Roman" w:cs="Times New Roman" w:eastAsia="Times New Roman" w:hAnsi="Times New Roman"/>
          <w:b w:val="false"/>
          <w:bCs w:val="false"/>
          <w:i w:val="false"/>
          <w:iCs w:val="false"/>
          <w:sz w:val="24"/>
          <w:szCs w:val="24"/>
        </w:rPr>
        <w:t xml:space="preserve">Et généralement, toutes opérations industrielles, commerciales, financières, civiles, mobilières ou immobilières pouvant se rattacher directement ou indirectement à l'objet social ou à tous objets similaires ou connexes ou susceptibles d'en faciliter l'extension ou le développement.</w:t>
      </w:r>
    </w:p>
    <w:p>
      <w:pPr>
        <w:spacing w:after="120"/>
        <w:jc w:val="both"/>
      </w:pPr>
      <w:r>
        <w:rPr>
          <w:rFonts w:ascii="Times New Roman" w:cs="Times New Roman" w:eastAsia="Times New Roman" w:hAnsi="Times New Roman"/>
          <w:b w:val="false"/>
          <w:bCs w:val="false"/>
          <w:i w:val="false"/>
          <w:iCs w:val="false"/>
          <w:sz w:val="24"/>
          <w:szCs w:val="24"/>
        </w:rPr>
        <w:t xml:space="preserve">En outre, la Société peut également participer par tous moyens, directement ou indirectement, dans toutes opérations pouvant se rattacher à son objet.</w:t>
      </w:r>
    </w:p>
    <w:p>
      <w:pPr>
        <w:spacing w:after="120"/>
        <w:jc w:val="both"/>
      </w:pPr>
      <w:r>
        <w:rPr>
          <w:rFonts w:ascii="Times New Roman" w:cs="Times New Roman" w:eastAsia="Times New Roman" w:hAnsi="Times New Roman"/>
          <w:b w:val="false"/>
          <w:bCs w:val="false"/>
          <w:i w:val="false"/>
          <w:iCs w:val="false"/>
          <w:sz w:val="24"/>
          <w:szCs w:val="24"/>
        </w:rPr>
        <w:t xml:space="preserve">- l'acquisition, la location et la vente de tous biens meubles et immeubles.</w:t>
      </w:r>
    </w:p>
    <w:p>
      <w:pPr>
        <w:spacing w:after="120"/>
        <w:jc w:val="both"/>
      </w:pPr>
      <w:r>
        <w:rPr>
          <w:rFonts w:ascii="Times New Roman" w:cs="Times New Roman" w:eastAsia="Times New Roman" w:hAnsi="Times New Roman"/>
          <w:b w:val="false"/>
          <w:bCs w:val="false"/>
          <w:i w:val="false"/>
          <w:iCs w:val="false"/>
          <w:sz w:val="24"/>
          <w:szCs w:val="24"/>
        </w:rPr>
        <w:t xml:space="preserve">- l'emprunt de toutes sommes auprès de tous établissements financiers avec possibilité de donner en garantie tout ou partie des biens sociaux.</w:t>
      </w:r>
    </w:p>
    <w:p>
      <w:pPr>
        <w:spacing w:after="120"/>
        <w:jc w:val="both"/>
      </w:pPr>
      <w:r>
        <w:rPr>
          <w:rFonts w:ascii="Times New Roman" w:cs="Times New Roman" w:eastAsia="Times New Roman" w:hAnsi="Times New Roman"/>
          <w:b w:val="false"/>
          <w:bCs w:val="false"/>
          <w:i w:val="false"/>
          <w:iCs w:val="false"/>
          <w:sz w:val="24"/>
          <w:szCs w:val="24"/>
        </w:rPr>
        <w:t xml:space="preserve">- la prise en location gérance de tous fonds de commerce.</w:t>
      </w:r>
    </w:p>
    <w:p>
      <w:pPr>
        <w:spacing w:after="120"/>
        <w:jc w:val="both"/>
      </w:pPr>
      <w:r>
        <w:rPr>
          <w:rFonts w:ascii="Times New Roman" w:cs="Times New Roman" w:eastAsia="Times New Roman" w:hAnsi="Times New Roman"/>
          <w:b w:val="false"/>
          <w:bCs w:val="false"/>
          <w:i w:val="false"/>
          <w:iCs w:val="false"/>
          <w:sz w:val="24"/>
          <w:szCs w:val="24"/>
        </w:rPr>
        <w:t xml:space="preserve">- la prise de participation en toute société existante ou devant être créée</w:t>
      </w:r>
    </w:p>
    <w:p>
      <w:pPr>
        <w:spacing w:after="120"/>
        <w:jc w:val="both"/>
      </w:pPr>
      <w:r>
        <w:rPr>
          <w:rFonts w:ascii="Times New Roman" w:cs="Times New Roman" w:eastAsia="Times New Roman" w:hAnsi="Times New Roman"/>
          <w:b w:val="false"/>
          <w:bCs w:val="false"/>
          <w:i w:val="false"/>
          <w:iCs w:val="false"/>
          <w:sz w:val="24"/>
          <w:szCs w:val="24"/>
        </w:rPr>
        <w:t xml:space="preserve">- et généralement, toute opérations financières, commerciales, industrielles, mobilières et immobilière, se rapportant directement ou indirectement à l'objet social ou pouvant en faciliter l'extension ou le développement.</w:t>
      </w:r>
    </w:p>
    <w:p>
      <w:pPr>
        <w:spacing w:before="240" w:after="120"/>
        <w:jc w:val="left"/>
      </w:pPr>
      <w:r>
        <w:rPr>
          <w:rFonts w:ascii="Times New Roman" w:cs="Times New Roman" w:eastAsia="Times New Roman" w:hAnsi="Times New Roman"/>
          <w:b/>
          <w:bCs/>
          <w:i w:val="false"/>
          <w:iCs w:val="false"/>
          <w:sz w:val="24"/>
          <w:szCs w:val="24"/>
          <w:u w:val="single"/>
        </w:rPr>
        <w:t xml:space="preserve">ARTICLE 4- SIEGE SOCIAL</w:t>
      </w:r>
    </w:p>
    <w:p>
      <w:pPr>
        <w:spacing w:after="120"/>
        <w:jc w:val="both"/>
      </w:pPr>
      <w:r>
        <w:rPr>
          <w:rFonts w:ascii="Times New Roman" w:cs="Times New Roman" w:eastAsia="Times New Roman" w:hAnsi="Times New Roman"/>
          <w:b w:val="false"/>
          <w:bCs w:val="false"/>
          <w:i w:val="false"/>
          <w:iCs w:val="false"/>
          <w:sz w:val="24"/>
          <w:szCs w:val="24"/>
        </w:rPr>
        <w:t xml:space="preserve">Le siège social est fixé à : </w:t>
      </w:r>
      <w:r>
        <w:rPr>
          <w:rFonts w:ascii="Times New Roman" w:cs="Times New Roman" w:eastAsia="Times New Roman" w:hAnsi="Times New Roman"/>
          <w:b/>
          <w:bCs/>
          <w:i w:val="false"/>
          <w:iCs w:val="false"/>
          <w:sz w:val="24"/>
          <w:szCs w:val="24"/>
        </w:rPr>
        <w:t xml:space="preserve">{siege_social_complet}</w:t>
      </w:r>
    </w:p>
    <w:p>
      <w:pPr>
        <w:spacing w:after="120"/>
        <w:jc w:val="both"/>
      </w:pPr>
      <w:r>
        <w:rPr>
          <w:rFonts w:ascii="Times New Roman" w:cs="Times New Roman" w:eastAsia="Times New Roman" w:hAnsi="Times New Roman"/>
          <w:b w:val="false"/>
          <w:bCs w:val="false"/>
          <w:i w:val="false"/>
          <w:iCs w:val="false"/>
          <w:sz w:val="24"/>
          <w:szCs w:val="24"/>
        </w:rPr>
        <w:t xml:space="preserve">Il peut être transféré dans les limites du territoire de la République de COTE D'IVOIRE par décision de la gérance qui modifie en conséquence les statuts, sous réserve de la ratification de cette décision par la plus prochaine Assemblée Générale Ordinaire.</w:t>
      </w:r>
    </w:p>
    <w:p>
      <w:pPr>
        <w:spacing w:before="240" w:after="120"/>
        <w:jc w:val="left"/>
      </w:pPr>
      <w:r>
        <w:rPr>
          <w:rFonts w:ascii="Times New Roman" w:cs="Times New Roman" w:eastAsia="Times New Roman" w:hAnsi="Times New Roman"/>
          <w:b/>
          <w:bCs/>
          <w:i w:val="false"/>
          <w:iCs w:val="false"/>
          <w:sz w:val="24"/>
          <w:szCs w:val="24"/>
          <w:u w:val="single"/>
        </w:rPr>
        <w:t xml:space="preserve">ARTICLE 5- DUREE</w:t>
      </w:r>
    </w:p>
    <w:p>
      <w:pPr>
        <w:spacing w:after="120"/>
        <w:jc w:val="both"/>
      </w:pPr>
      <w:r>
        <w:rPr>
          <w:rFonts w:ascii="Times New Roman" w:cs="Times New Roman" w:eastAsia="Times New Roman" w:hAnsi="Times New Roman"/>
          <w:b w:val="false"/>
          <w:bCs w:val="false"/>
          <w:i w:val="false"/>
          <w:iCs w:val="false"/>
          <w:sz w:val="24"/>
          <w:szCs w:val="24"/>
        </w:rPr>
        <w:t xml:space="preserve">La durée de la société est de {duree_societe_lettres} ({duree_societe}) années, sauf dissolution anticipée ou prorogation.</w:t>
      </w:r>
    </w:p>
    <w:p>
      <w:pPr>
        <w:spacing w:before="240" w:after="120"/>
        <w:jc w:val="left"/>
      </w:pPr>
      <w:r>
        <w:rPr>
          <w:rFonts w:ascii="Times New Roman" w:cs="Times New Roman" w:eastAsia="Times New Roman" w:hAnsi="Times New Roman"/>
          <w:b/>
          <w:bCs/>
          <w:i w:val="false"/>
          <w:iCs w:val="false"/>
          <w:sz w:val="24"/>
          <w:szCs w:val="24"/>
          <w:u w:val="single"/>
        </w:rPr>
        <w:t xml:space="preserve">ARTICLE 6- EXERCICE SOCIAL</w:t>
      </w:r>
    </w:p>
    <w:p>
      <w:pPr>
        <w:spacing w:after="120"/>
        <w:jc w:val="both"/>
      </w:pPr>
      <w:r>
        <w:rPr>
          <w:rFonts w:ascii="Times New Roman" w:cs="Times New Roman" w:eastAsia="Times New Roman" w:hAnsi="Times New Roman"/>
          <w:b w:val="false"/>
          <w:bCs w:val="false"/>
          <w:i w:val="false"/>
          <w:iCs w:val="false"/>
          <w:sz w:val="24"/>
          <w:szCs w:val="24"/>
        </w:rPr>
        <w:t xml:space="preserve">L'exercice social commence le premier janvier et se termine le trente et-un décembre de chaque année.</w:t>
      </w:r>
    </w:p>
    <w:p>
      <w:pPr>
        <w:spacing w:after="120"/>
        <w:jc w:val="both"/>
      </w:pPr>
      <w:r>
        <w:rPr>
          <w:rFonts w:ascii="Times New Roman" w:cs="Times New Roman" w:eastAsia="Times New Roman" w:hAnsi="Times New Roman"/>
          <w:b w:val="false"/>
          <w:bCs w:val="false"/>
          <w:i w:val="false"/>
          <w:iCs w:val="false"/>
          <w:sz w:val="24"/>
          <w:szCs w:val="24"/>
        </w:rPr>
        <w:t xml:space="preserve">Par exception, le premier exercice sera clos le trente et un décembre de l'année suivante si la société commence ses activités au-delà des six premiers mois de l'année en cours.</w:t>
      </w:r>
    </w:p>
    <w:p>
      <w:pPr>
        <w:spacing w:before="240" w:after="120"/>
        <w:jc w:val="left"/>
      </w:pPr>
      <w:r>
        <w:rPr>
          <w:rFonts w:ascii="Times New Roman" w:cs="Times New Roman" w:eastAsia="Times New Roman" w:hAnsi="Times New Roman"/>
          <w:b/>
          <w:bCs/>
          <w:i w:val="false"/>
          <w:iCs w:val="false"/>
          <w:sz w:val="24"/>
          <w:szCs w:val="24"/>
          <w:u w:val="single"/>
        </w:rPr>
        <w:t xml:space="preserve">ARTICLE 7- APPORTS</w:t>
      </w:r>
    </w:p>
    <w:p>
      <w:pPr>
        <w:spacing w:after="120"/>
        <w:jc w:val="left"/>
      </w:pPr>
      <w:r>
        <w:rPr>
          <w:rFonts w:ascii="Times New Roman" w:cs="Times New Roman" w:eastAsia="Times New Roman" w:hAnsi="Times New Roman"/>
          <w:b/>
          <w:bCs/>
          <w:i w:val="false"/>
          <w:iCs w:val="false"/>
          <w:sz w:val="24"/>
          <w:szCs w:val="24"/>
        </w:rPr>
        <w:t xml:space="preserve">Apports en numéraires</w:t>
      </w:r>
    </w:p>
    <w:p>
      <w:pPr>
        <w:spacing w:after="120"/>
        <w:jc w:val="both"/>
      </w:pPr>
      <w:r>
        <w:rPr>
          <w:rFonts w:ascii="Times New Roman" w:cs="Times New Roman" w:eastAsia="Times New Roman" w:hAnsi="Times New Roman"/>
          <w:b w:val="false"/>
          <w:bCs w:val="false"/>
          <w:i w:val="false"/>
          <w:iCs w:val="false"/>
          <w:sz w:val="24"/>
          <w:szCs w:val="24"/>
        </w:rPr>
        <w:t xml:space="preserve">Lors de la constitution, le soussigné a fait apport à la société, à savoir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tcBorders>
              <w:top w:val="single" w:color="000000" w:sz="1"/>
              <w:left w:val="single" w:color="000000" w:sz="1"/>
              <w:bottom w:val="single" w:color="000000" w:sz="1"/>
              <w:right w:val="single" w:color="000000" w:sz="1"/>
            </w:tcBorders>
          </w:tcPr>
          <w:p>
            <w:pPr>
              <w:spacing w:after="120"/>
              <w:jc w:val="left"/>
            </w:pPr>
            <w:r>
              <w:rPr>
                <w:rFonts w:ascii="Times New Roman" w:cs="Times New Roman" w:eastAsia="Times New Roman" w:hAnsi="Times New Roman"/>
                <w:b/>
                <w:bCs/>
                <w:i w:val="false"/>
                <w:iCs w:val="false"/>
                <w:sz w:val="24"/>
                <w:szCs w:val="24"/>
              </w:rPr>
              <w:t xml:space="preserve">IDENTITE DES APPORTEURS</w:t>
            </w:r>
          </w:p>
        </w:tc>
        <w:tc>
          <w:tcPr>
            <w:tcW w:type="pct" w:w="40%"/>
            <w:tcBorders>
              <w:top w:val="single" w:color="000000" w:sz="1"/>
              <w:left w:val="single" w:color="000000" w:sz="1"/>
              <w:bottom w:val="single" w:color="000000" w:sz="1"/>
              <w:right w:val="single" w:color="000000" w:sz="1"/>
            </w:tcBorders>
          </w:tcPr>
          <w:p>
            <w:pPr>
              <w:spacing w:after="120"/>
              <w:jc w:val="left"/>
            </w:pPr>
            <w:r>
              <w:rPr>
                <w:rFonts w:ascii="Times New Roman" w:cs="Times New Roman" w:eastAsia="Times New Roman" w:hAnsi="Times New Roman"/>
                <w:b/>
                <w:bCs/>
                <w:i w:val="false"/>
                <w:iCs w:val="false"/>
                <w:sz w:val="24"/>
                <w:szCs w:val="24"/>
              </w:rPr>
              <w:t xml:space="preserve">MONTANT APPORT EN NUMERAIRE</w:t>
            </w:r>
          </w:p>
        </w:tc>
      </w:tr>
      <w:tr>
        <w:tc>
          <w:tcPr>
            <w:tcBorders>
              <w:top w:val="single" w:color="000000" w:sz="1"/>
              <w:left w:val="single" w:color="000000" w:sz="1"/>
              <w:bottom w:val="single" w:color="000000" w:sz="1"/>
              <w:right w:val="single" w:color="000000" w:sz="1"/>
            </w:tcBorders>
          </w:tcPr>
          <w:p>
            <w:pPr>
              <w:spacing w:after="120"/>
            </w:pPr>
            <w:r>
              <w:rPr>
                <w:rFonts w:ascii="Times New Roman" w:cs="Times New Roman" w:eastAsia="Times New Roman" w:hAnsi="Times New Roman"/>
                <w:sz w:val="24"/>
                <w:szCs w:val="24"/>
              </w:rPr>
              <w:t xml:space="preserve"/>
            </w:r>
          </w:p>
          <w:p>
            <w:pPr>
              <w:spacing w:after="120"/>
              <w:jc w:val="left"/>
            </w:pPr>
            <w:r>
              <w:rPr>
                <w:rFonts w:ascii="Times New Roman" w:cs="Times New Roman" w:eastAsia="Times New Roman" w:hAnsi="Times New Roman"/>
                <w:b/>
                <w:bCs/>
                <w:i w:val="false"/>
                <w:iCs w:val="false"/>
                <w:sz w:val="24"/>
                <w:szCs w:val="24"/>
              </w:rPr>
              <w:t xml:space="preserve">{associe_civilite} {associe_nom_complet}</w:t>
            </w:r>
          </w:p>
          <w:p>
            <w:pPr>
              <w:spacing w:after="120"/>
            </w:pPr>
            <w:r>
              <w:rPr>
                <w:rFonts w:ascii="Times New Roman" w:cs="Times New Roman" w:eastAsia="Times New Roman" w:hAnsi="Times New Roman"/>
                <w:sz w:val="24"/>
                <w:szCs w:val="24"/>
              </w:rPr>
              <w:t xml:space="preserve"/>
            </w:r>
          </w:p>
        </w:tc>
        <w:tc>
          <w:tcPr>
            <w:tcBorders>
              <w:top w:val="single" w:color="000000" w:sz="1"/>
              <w:left w:val="single" w:color="000000" w:sz="1"/>
              <w:bottom w:val="single" w:color="000000" w:sz="1"/>
              <w:right w:val="single" w:color="000000" w:sz="1"/>
            </w:tcBorders>
          </w:tcPr>
          <w:p>
            <w:pPr>
              <w:spacing w:after="120"/>
            </w:pPr>
            <w:r>
              <w:rPr>
                <w:rFonts w:ascii="Times New Roman" w:cs="Times New Roman" w:eastAsia="Times New Roman" w:hAnsi="Times New Roman"/>
                <w:sz w:val="24"/>
                <w:szCs w:val="24"/>
              </w:rPr>
              <w:t xml:space="preserve"/>
            </w:r>
          </w:p>
          <w:p>
            <w:pPr>
              <w:spacing w:after="120"/>
              <w:jc w:val="left"/>
            </w:pPr>
            <w:r>
              <w:rPr>
                <w:rFonts w:ascii="Times New Roman" w:cs="Times New Roman" w:eastAsia="Times New Roman" w:hAnsi="Times New Roman"/>
                <w:b w:val="false"/>
                <w:bCs w:val="false"/>
                <w:i w:val="false"/>
                <w:iCs w:val="false"/>
                <w:sz w:val="24"/>
                <w:szCs w:val="24"/>
              </w:rPr>
              <w:t xml:space="preserve">{capital_formatte} F CFA</w:t>
            </w:r>
          </w:p>
          <w:p>
            <w:pPr>
              <w:spacing w:after="120"/>
            </w:pPr>
            <w:r>
              <w:rPr>
                <w:rFonts w:ascii="Times New Roman" w:cs="Times New Roman" w:eastAsia="Times New Roman" w:hAnsi="Times New Roman"/>
                <w:sz w:val="24"/>
                <w:szCs w:val="24"/>
              </w:rPr>
              <w:t xml:space="preserve"/>
            </w:r>
          </w:p>
        </w:tc>
      </w:tr>
      <w:tr>
        <w:tc>
          <w:tcPr>
            <w:tcBorders>
              <w:top w:val="single" w:color="000000" w:sz="1"/>
              <w:left w:val="single" w:color="000000" w:sz="1"/>
              <w:bottom w:val="single" w:color="000000" w:sz="1"/>
              <w:right w:val="single" w:color="000000" w:sz="1"/>
            </w:tcBorders>
          </w:tcPr>
          <w:p>
            <w:pPr>
              <w:spacing w:after="120"/>
              <w:jc w:val="left"/>
            </w:pPr>
            <w:r>
              <w:rPr>
                <w:rFonts w:ascii="Times New Roman" w:cs="Times New Roman" w:eastAsia="Times New Roman" w:hAnsi="Times New Roman"/>
                <w:b/>
                <w:bCs/>
                <w:i w:val="false"/>
                <w:iCs w:val="false"/>
                <w:sz w:val="24"/>
                <w:szCs w:val="24"/>
              </w:rPr>
              <w:t xml:space="preserve">Total des apports en numéraire : {capital_formatte} de francs CFA,</w:t>
            </w:r>
          </w:p>
        </w:tc>
        <w:tc>
          <w:tcPr>
            <w:tcBorders>
              <w:top w:val="single" w:color="000000" w:sz="1"/>
              <w:left w:val="single" w:color="000000" w:sz="1"/>
              <w:bottom w:val="single" w:color="000000" w:sz="1"/>
              <w:right w:val="single" w:color="000000" w:sz="1"/>
            </w:tcBorders>
          </w:tcPr>
          <w:p>
            <w:pPr>
              <w:spacing w:after="120"/>
              <w:jc w:val="left"/>
            </w:pPr>
            <w:r>
              <w:rPr>
                <w:rFonts w:ascii="Times New Roman" w:cs="Times New Roman" w:eastAsia="Times New Roman" w:hAnsi="Times New Roman"/>
                <w:b w:val="false"/>
                <w:bCs w:val="false"/>
                <w:i w:val="false"/>
                <w:iCs w:val="false"/>
                <w:sz w:val="24"/>
                <w:szCs w:val="24"/>
              </w:rPr>
              <w:t xml:space="preserve">{capital_formatte} FCFA</w:t>
            </w:r>
          </w:p>
        </w:tc>
      </w:tr>
    </w:tbl>
    <w:p>
      <w:pPr>
        <w:spacing w:after="120"/>
      </w:pPr>
      <w:r>
        <w:rPr>
          <w:rFonts w:ascii="Times New Roman" w:cs="Times New Roman" w:eastAsia="Times New Roman" w:hAnsi="Times New Roman"/>
          <w:sz w:val="24"/>
          <w:szCs w:val="24"/>
        </w:rPr>
        <w:t xml:space="preserve"/>
      </w:r>
    </w:p>
    <w:p>
      <w:pPr>
        <w:spacing w:after="120"/>
        <w:jc w:val="both"/>
      </w:pPr>
      <w:r>
        <w:rPr>
          <w:rFonts w:ascii="Times New Roman" w:cs="Times New Roman" w:eastAsia="Times New Roman" w:hAnsi="Times New Roman"/>
          <w:b w:val="false"/>
          <w:bCs w:val="false"/>
          <w:i w:val="false"/>
          <w:iCs w:val="false"/>
          <w:sz w:val="24"/>
          <w:szCs w:val="24"/>
        </w:rPr>
        <w:t xml:space="preserve">Les apports en numéraire de </w:t>
      </w:r>
      <w:r>
        <w:rPr>
          <w:rFonts w:ascii="Times New Roman" w:cs="Times New Roman" w:eastAsia="Times New Roman" w:hAnsi="Times New Roman"/>
          <w:b/>
          <w:bCs/>
          <w:i w:val="false"/>
          <w:iCs w:val="false"/>
          <w:sz w:val="24"/>
          <w:szCs w:val="24"/>
        </w:rPr>
        <w:t xml:space="preserve">{capital_lettres}</w:t>
      </w:r>
      <w:r>
        <w:rPr>
          <w:rFonts w:ascii="Times New Roman" w:cs="Times New Roman" w:eastAsia="Times New Roman" w:hAnsi="Times New Roman"/>
          <w:b w:val="false"/>
          <w:bCs w:val="false"/>
          <w:i w:val="false"/>
          <w:iCs w:val="false"/>
          <w:sz w:val="24"/>
          <w:szCs w:val="24"/>
        </w:rPr>
        <w:t xml:space="preserve"> de francs CFA ({capital_formatte}) F CFA correspondent à {nombre_parts} parts sociales de {valeur_part_formatte} FCFA entièrement souscrites et libérée intégralement, La somme correspondante a été déposée pour le compte de la société et conformément à la loi, dans un compte ouvert à </w:t>
      </w:r>
      <w:r>
        <w:rPr>
          <w:rFonts w:ascii="Times New Roman" w:cs="Times New Roman" w:eastAsia="Times New Roman" w:hAnsi="Times New Roman"/>
          <w:b/>
          <w:bCs/>
          <w:i w:val="false"/>
          <w:iCs w:val="false"/>
          <w:sz w:val="24"/>
          <w:szCs w:val="24"/>
        </w:rPr>
        <w:t xml:space="preserve">{banque}</w:t>
      </w:r>
    </w:p>
    <w:p>
      <w:pPr>
        <w:pageBreakBefore/>
        <w:spacing w:before="240" w:after="120"/>
        <w:jc w:val="left"/>
      </w:pPr>
      <w:r>
        <w:rPr>
          <w:rFonts w:ascii="Times New Roman" w:cs="Times New Roman" w:eastAsia="Times New Roman" w:hAnsi="Times New Roman"/>
          <w:b/>
          <w:bCs/>
          <w:i w:val="false"/>
          <w:iCs w:val="false"/>
          <w:sz w:val="24"/>
          <w:szCs w:val="24"/>
          <w:u w:val="single"/>
        </w:rPr>
        <w:t xml:space="preserve">ARTICLE 8- CAPITAL SOCIAL</w:t>
      </w:r>
    </w:p>
    <w:p>
      <w:pPr>
        <w:spacing w:after="120"/>
        <w:jc w:val="both"/>
      </w:pPr>
      <w:r>
        <w:rPr>
          <w:rFonts w:ascii="Times New Roman" w:cs="Times New Roman" w:eastAsia="Times New Roman" w:hAnsi="Times New Roman"/>
          <w:b w:val="false"/>
          <w:bCs w:val="false"/>
          <w:i w:val="false"/>
          <w:iCs w:val="false"/>
          <w:sz w:val="24"/>
          <w:szCs w:val="24"/>
        </w:rPr>
        <w:t xml:space="preserve">Le capital social est fixé à la somme de F CFA {capital_formatte} divisé en {nombre_parts} parts sociales de F CFA {valeur_part_formatte}, entièrement souscrites et libérées intégralement, numérotées de 1 à {nombre_parts}, attribuées à l'associé unique, à savoir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60%"/>
            <w:tcBorders>
              <w:top w:val="single" w:color="000000" w:sz="1"/>
              <w:left w:val="single" w:color="000000" w:sz="1"/>
              <w:bottom w:val="single" w:color="000000" w:sz="1"/>
              <w:right w:val="single" w:color="000000" w:sz="1"/>
            </w:tcBorders>
          </w:tcPr>
          <w:p>
            <w:pPr>
              <w:spacing w:after="120"/>
              <w:jc w:val="left"/>
            </w:pPr>
            <w:r>
              <w:rPr>
                <w:rFonts w:ascii="Times New Roman" w:cs="Times New Roman" w:eastAsia="Times New Roman" w:hAnsi="Times New Roman"/>
                <w:b/>
                <w:bCs/>
                <w:i w:val="false"/>
                <w:iCs w:val="false"/>
                <w:sz w:val="24"/>
                <w:szCs w:val="24"/>
              </w:rPr>
              <w:t xml:space="preserve">IDENTITE DES ASSOCIES</w:t>
            </w:r>
          </w:p>
        </w:tc>
        <w:tc>
          <w:tcPr>
            <w:tcW w:type="pct" w:w="40%"/>
            <w:tcBorders>
              <w:top w:val="single" w:color="000000" w:sz="1"/>
              <w:left w:val="single" w:color="000000" w:sz="1"/>
              <w:bottom w:val="single" w:color="000000" w:sz="1"/>
              <w:right w:val="single" w:color="000000" w:sz="1"/>
            </w:tcBorders>
          </w:tcPr>
          <w:p>
            <w:pPr>
              <w:spacing w:after="120"/>
              <w:jc w:val="left"/>
            </w:pPr>
            <w:r>
              <w:rPr>
                <w:rFonts w:ascii="Times New Roman" w:cs="Times New Roman" w:eastAsia="Times New Roman" w:hAnsi="Times New Roman"/>
                <w:b/>
                <w:bCs/>
                <w:i w:val="false"/>
                <w:iCs w:val="false"/>
                <w:sz w:val="24"/>
                <w:szCs w:val="24"/>
              </w:rPr>
              <w:t xml:space="preserve">CONCURRENCE DES PARTS</w:t>
            </w:r>
          </w:p>
        </w:tc>
      </w:tr>
      <w:tr>
        <w:tc>
          <w:tcPr>
            <w:tcBorders>
              <w:top w:val="single" w:color="000000" w:sz="1"/>
              <w:left w:val="single" w:color="000000" w:sz="1"/>
              <w:bottom w:val="single" w:color="000000" w:sz="1"/>
              <w:right w:val="single" w:color="000000" w:sz="1"/>
            </w:tcBorders>
          </w:tcPr>
          <w:p>
            <w:pPr>
              <w:spacing w:after="120"/>
              <w:jc w:val="left"/>
            </w:pPr>
            <w:r>
              <w:rPr>
                <w:rFonts w:ascii="Times New Roman" w:cs="Times New Roman" w:eastAsia="Times New Roman" w:hAnsi="Times New Roman"/>
                <w:b/>
                <w:bCs/>
                <w:i w:val="false"/>
                <w:iCs w:val="false"/>
                <w:sz w:val="24"/>
                <w:szCs w:val="24"/>
              </w:rPr>
              <w:t xml:space="preserve">{associe_civilite} {associe_nom_complet}</w:t>
            </w:r>
          </w:p>
          <w:p>
            <w:pPr>
              <w:spacing w:after="120"/>
            </w:pPr>
            <w:r>
              <w:rPr>
                <w:rFonts w:ascii="Times New Roman" w:cs="Times New Roman" w:eastAsia="Times New Roman" w:hAnsi="Times New Roman"/>
                <w:sz w:val="24"/>
                <w:szCs w:val="24"/>
              </w:rPr>
              <w:t xml:space="preserve"/>
            </w:r>
          </w:p>
          <w:p>
            <w:pPr>
              <w:spacing w:after="120"/>
              <w:jc w:val="both"/>
            </w:pPr>
            <w:r>
              <w:rPr>
                <w:rFonts w:ascii="Times New Roman" w:cs="Times New Roman" w:eastAsia="Times New Roman" w:hAnsi="Times New Roman"/>
                <w:b w:val="false"/>
                <w:bCs w:val="false"/>
                <w:i w:val="false"/>
                <w:iCs w:val="false"/>
                <w:sz w:val="24"/>
                <w:szCs w:val="24"/>
              </w:rPr>
              <w:t xml:space="preserve">{nombre_parts} parts sociales numérotées de 1 à {nombre_parts} inclus, en rémunération de son apport exclusif en numéraire ci-dessus</w:t>
            </w:r>
          </w:p>
        </w:tc>
        <w:tc>
          <w:tcPr>
            <w:tcBorders>
              <w:top w:val="single" w:color="000000" w:sz="1"/>
              <w:left w:val="single" w:color="000000" w:sz="1"/>
              <w:bottom w:val="single" w:color="000000" w:sz="1"/>
              <w:right w:val="single" w:color="000000" w:sz="1"/>
            </w:tcBorders>
          </w:tcPr>
          <w:p>
            <w:pPr>
              <w:spacing w:after="120"/>
            </w:pPr>
            <w:r>
              <w:rPr>
                <w:rFonts w:ascii="Times New Roman" w:cs="Times New Roman" w:eastAsia="Times New Roman" w:hAnsi="Times New Roman"/>
                <w:sz w:val="24"/>
                <w:szCs w:val="24"/>
              </w:rPr>
              <w:t xml:space="preserve"/>
            </w:r>
          </w:p>
          <w:p>
            <w:pPr>
              <w:spacing w:after="120"/>
              <w:jc w:val="left"/>
            </w:pPr>
            <w:r>
              <w:rPr>
                <w:rFonts w:ascii="Times New Roman" w:cs="Times New Roman" w:eastAsia="Times New Roman" w:hAnsi="Times New Roman"/>
                <w:b/>
                <w:bCs/>
                <w:i w:val="false"/>
                <w:iCs w:val="false"/>
                <w:sz w:val="24"/>
                <w:szCs w:val="24"/>
              </w:rPr>
              <w:t xml:space="preserve">{nombre_parts} PARTS</w:t>
            </w:r>
          </w:p>
        </w:tc>
      </w:tr>
      <w:tr>
        <w:tc>
          <w:tcPr>
            <w:tcBorders>
              <w:top w:val="single" w:color="000000" w:sz="1"/>
              <w:left w:val="single" w:color="000000" w:sz="1"/>
              <w:bottom w:val="single" w:color="000000" w:sz="1"/>
              <w:right w:val="single" w:color="000000" w:sz="1"/>
            </w:tcBorders>
          </w:tcPr>
          <w:p>
            <w:pPr>
              <w:spacing w:after="120"/>
              <w:jc w:val="both"/>
            </w:pPr>
            <w:r>
              <w:rPr>
                <w:rFonts w:ascii="Times New Roman" w:cs="Times New Roman" w:eastAsia="Times New Roman" w:hAnsi="Times New Roman"/>
                <w:b w:val="false"/>
                <w:bCs w:val="false"/>
                <w:i w:val="false"/>
                <w:iCs w:val="false"/>
                <w:sz w:val="24"/>
                <w:szCs w:val="24"/>
              </w:rPr>
              <w:t xml:space="preserve">TOTAL EGAL au nombre de parts composant le capital social, soit {nombre_parts} parts sociales, ci-contre</w:t>
            </w:r>
          </w:p>
        </w:tc>
        <w:tc>
          <w:tcPr>
            <w:tcBorders>
              <w:top w:val="single" w:color="000000" w:sz="1"/>
              <w:left w:val="single" w:color="000000" w:sz="1"/>
              <w:bottom w:val="single" w:color="000000" w:sz="1"/>
              <w:right w:val="single" w:color="000000" w:sz="1"/>
            </w:tcBorders>
          </w:tcPr>
          <w:p>
            <w:pPr>
              <w:spacing w:after="120"/>
            </w:pPr>
            <w:r>
              <w:rPr>
                <w:rFonts w:ascii="Times New Roman" w:cs="Times New Roman" w:eastAsia="Times New Roman" w:hAnsi="Times New Roman"/>
                <w:sz w:val="24"/>
                <w:szCs w:val="24"/>
              </w:rPr>
              <w:t xml:space="preserve"/>
            </w:r>
          </w:p>
          <w:p>
            <w:pPr>
              <w:spacing w:after="120"/>
              <w:jc w:val="left"/>
            </w:pPr>
            <w:r>
              <w:rPr>
                <w:rFonts w:ascii="Times New Roman" w:cs="Times New Roman" w:eastAsia="Times New Roman" w:hAnsi="Times New Roman"/>
                <w:b/>
                <w:bCs/>
                <w:i w:val="false"/>
                <w:iCs w:val="false"/>
                <w:sz w:val="24"/>
                <w:szCs w:val="24"/>
              </w:rPr>
              <w:t xml:space="preserve">{nombre_parts} PARTS</w:t>
            </w:r>
          </w:p>
        </w:tc>
      </w:tr>
    </w:tbl>
    <w:p>
      <w:pPr>
        <w:spacing w:before="240" w:after="120"/>
        <w:jc w:val="left"/>
      </w:pPr>
      <w:r>
        <w:rPr>
          <w:rFonts w:ascii="Times New Roman" w:cs="Times New Roman" w:eastAsia="Times New Roman" w:hAnsi="Times New Roman"/>
          <w:b/>
          <w:bCs/>
          <w:i w:val="false"/>
          <w:iCs w:val="false"/>
          <w:sz w:val="24"/>
          <w:szCs w:val="24"/>
          <w:u w:val="single"/>
        </w:rPr>
        <w:t xml:space="preserve">ARTICLE 9- MODIFICATION DU CAPITAL</w:t>
      </w:r>
    </w:p>
    <w:p>
      <w:pPr>
        <w:spacing w:after="120"/>
        <w:jc w:val="both"/>
      </w:pPr>
      <w:r>
        <w:rPr>
          <w:rFonts w:ascii="Times New Roman" w:cs="Times New Roman" w:eastAsia="Times New Roman" w:hAnsi="Times New Roman"/>
          <w:b w:val="false"/>
          <w:bCs w:val="false"/>
          <w:i w:val="false"/>
          <w:iCs w:val="false"/>
          <w:sz w:val="24"/>
          <w:szCs w:val="24"/>
        </w:rPr>
        <w:t xml:space="preserve">1. Le capital social peut être augmenté, par décision extraordinaire de l'associé unique, soit par émission de parts nouvelles, soit par majoration du nominal des parts existantes.</w:t>
      </w:r>
    </w:p>
    <w:p>
      <w:pPr>
        <w:spacing w:after="120"/>
        <w:jc w:val="both"/>
      </w:pPr>
      <w:r>
        <w:rPr>
          <w:rFonts w:ascii="Times New Roman" w:cs="Times New Roman" w:eastAsia="Times New Roman" w:hAnsi="Times New Roman"/>
          <w:b w:val="false"/>
          <w:bCs w:val="false"/>
          <w:i w:val="false"/>
          <w:iCs w:val="false"/>
          <w:sz w:val="24"/>
          <w:szCs w:val="24"/>
        </w:rPr>
        <w:t xml:space="preserve">Les parts nouvelles sont libérées soit en espèces, soit par compensation avec des créances certaines, liquides et exigibles sur la société, soit par incorporation de réserves, bénéfices, soit par apport en nature.</w:t>
      </w:r>
    </w:p>
    <w:p>
      <w:pPr>
        <w:spacing w:after="120"/>
        <w:jc w:val="both"/>
      </w:pPr>
      <w:r>
        <w:rPr>
          <w:rFonts w:ascii="Times New Roman" w:cs="Times New Roman" w:eastAsia="Times New Roman" w:hAnsi="Times New Roman"/>
          <w:b w:val="false"/>
          <w:bCs w:val="false"/>
          <w:i w:val="false"/>
          <w:iCs w:val="false"/>
          <w:sz w:val="24"/>
          <w:szCs w:val="24"/>
        </w:rPr>
        <w:t xml:space="preserve">Le capital social peut être réduit, soit par la diminution de la valeur nominale des parts, soit par diminution du nombre de parts.</w:t>
      </w:r>
    </w:p>
    <w:p>
      <w:pPr>
        <w:spacing w:after="120"/>
        <w:jc w:val="both"/>
      </w:pPr>
      <w:r>
        <w:rPr>
          <w:rFonts w:ascii="Times New Roman" w:cs="Times New Roman" w:eastAsia="Times New Roman" w:hAnsi="Times New Roman"/>
          <w:b w:val="false"/>
          <w:bCs w:val="false"/>
          <w:i w:val="false"/>
          <w:iCs w:val="false"/>
          <w:sz w:val="24"/>
          <w:szCs w:val="24"/>
        </w:rPr>
        <w:t xml:space="preserve">La réduction du capital est autorisée ou décidée par l'associé unique qui peut déléguer à la gérance les pouvoirs nécessaires pour la réaliser.</w:t>
      </w:r>
    </w:p>
    <w:p>
      <w:pPr>
        <w:spacing w:before="240" w:after="120"/>
        <w:jc w:val="left"/>
      </w:pPr>
      <w:r>
        <w:rPr>
          <w:rFonts w:ascii="Times New Roman" w:cs="Times New Roman" w:eastAsia="Times New Roman" w:hAnsi="Times New Roman"/>
          <w:b/>
          <w:bCs/>
          <w:i w:val="false"/>
          <w:iCs w:val="false"/>
          <w:sz w:val="24"/>
          <w:szCs w:val="24"/>
          <w:u w:val="single"/>
        </w:rPr>
        <w:t xml:space="preserve">ARTICLE 10 : DROITS DES PARTS</w:t>
      </w:r>
    </w:p>
    <w:p>
      <w:pPr>
        <w:spacing w:after="120"/>
        <w:jc w:val="both"/>
      </w:pPr>
      <w:r>
        <w:rPr>
          <w:rFonts w:ascii="Times New Roman" w:cs="Times New Roman" w:eastAsia="Times New Roman" w:hAnsi="Times New Roman"/>
          <w:b w:val="false"/>
          <w:bCs w:val="false"/>
          <w:i w:val="false"/>
          <w:iCs w:val="false"/>
          <w:sz w:val="24"/>
          <w:szCs w:val="24"/>
        </w:rPr>
        <w:t xml:space="preserve">1. Chaque part sociale confère à son propriétaire un droit égal dans les bénéfices de la société et dans tout l'actif social.</w:t>
      </w:r>
    </w:p>
    <w:p>
      <w:pPr>
        <w:spacing w:before="240" w:after="120"/>
        <w:jc w:val="left"/>
      </w:pPr>
      <w:r>
        <w:rPr>
          <w:rFonts w:ascii="Times New Roman" w:cs="Times New Roman" w:eastAsia="Times New Roman" w:hAnsi="Times New Roman"/>
          <w:b/>
          <w:bCs/>
          <w:i w:val="false"/>
          <w:iCs w:val="false"/>
          <w:sz w:val="24"/>
          <w:szCs w:val="24"/>
          <w:u w:val="single"/>
        </w:rPr>
        <w:t xml:space="preserve">ARTICLE 11 : NANTISSEMENT DES PARTS SOCIALES</w:t>
      </w:r>
    </w:p>
    <w:p>
      <w:pPr>
        <w:spacing w:after="120"/>
        <w:jc w:val="both"/>
      </w:pPr>
      <w:r>
        <w:rPr>
          <w:rFonts w:ascii="Times New Roman" w:cs="Times New Roman" w:eastAsia="Times New Roman" w:hAnsi="Times New Roman"/>
          <w:b w:val="false"/>
          <w:bCs w:val="false"/>
          <w:i w:val="false"/>
          <w:iCs w:val="false"/>
          <w:sz w:val="24"/>
          <w:szCs w:val="24"/>
        </w:rPr>
        <w:t xml:space="preserve">Le nantissement des parts est constaté par acte notarié ou sous seing-privé enregistré et signifié à la société ou accepté par elle dans un acte authentique.</w:t>
      </w:r>
    </w:p>
    <w:p>
      <w:pPr>
        <w:spacing w:before="360" w:after="240"/>
        <w:jc w:val="center"/>
      </w:pPr>
      <w:r>
        <w:rPr>
          <w:rFonts w:ascii="Times New Roman" w:cs="Times New Roman" w:eastAsia="Times New Roman" w:hAnsi="Times New Roman"/>
          <w:b/>
          <w:bCs/>
          <w:i w:val="false"/>
          <w:iCs w:val="false"/>
          <w:sz w:val="28"/>
          <w:szCs w:val="28"/>
        </w:rPr>
        <w:t xml:space="preserve">TITRE II : FONCTIONNEMENT-DISSOLUTION</w:t>
      </w:r>
    </w:p>
    <w:p>
      <w:pPr>
        <w:spacing w:before="240" w:after="120"/>
        <w:jc w:val="left"/>
      </w:pPr>
      <w:r>
        <w:rPr>
          <w:rFonts w:ascii="Times New Roman" w:cs="Times New Roman" w:eastAsia="Times New Roman" w:hAnsi="Times New Roman"/>
          <w:b/>
          <w:bCs/>
          <w:i w:val="false"/>
          <w:iCs w:val="false"/>
          <w:sz w:val="24"/>
          <w:szCs w:val="24"/>
          <w:u w:val="single"/>
        </w:rPr>
        <w:t xml:space="preserve">ARTICLE 12 : COMPTES COURANTS</w:t>
      </w:r>
    </w:p>
    <w:p>
      <w:pPr>
        <w:spacing w:after="120"/>
        <w:jc w:val="both"/>
      </w:pPr>
      <w:r>
        <w:rPr>
          <w:rFonts w:ascii="Times New Roman" w:cs="Times New Roman" w:eastAsia="Times New Roman" w:hAnsi="Times New Roman"/>
          <w:b w:val="false"/>
          <w:bCs w:val="false"/>
          <w:i w:val="false"/>
          <w:iCs w:val="false"/>
          <w:sz w:val="24"/>
          <w:szCs w:val="24"/>
        </w:rPr>
        <w:t xml:space="preserve">L'associé unique peut laisser ou mettre à disposition de la société toutes sommes dont celle-ci peut avoir besoin. Les conditions de retrait ou de remboursement de ces sommes, ainsi que leur rémunération, sont déterminées soit par décision de l'associé unique, Soit par accords entre la gérance et l'intéressé. Dans le cas où l'avance est faite par l'associé unique gérant, ces conditions sont fixées par décision de ce dernier.</w:t>
      </w:r>
    </w:p>
    <w:p>
      <w:pPr>
        <w:spacing w:before="240" w:after="120"/>
        <w:jc w:val="left"/>
      </w:pPr>
      <w:r>
        <w:rPr>
          <w:rFonts w:ascii="Times New Roman" w:cs="Times New Roman" w:eastAsia="Times New Roman" w:hAnsi="Times New Roman"/>
          <w:b/>
          <w:bCs/>
          <w:i w:val="false"/>
          <w:iCs w:val="false"/>
          <w:sz w:val="24"/>
          <w:szCs w:val="24"/>
          <w:u w:val="single"/>
        </w:rPr>
        <w:t xml:space="preserve">ARTICLE 13 : GERANCE</w:t>
      </w:r>
    </w:p>
    <w:p>
      <w:pPr>
        <w:spacing w:after="120"/>
        <w:jc w:val="both"/>
      </w:pPr>
      <w:r>
        <w:rPr>
          <w:rFonts w:ascii="Times New Roman" w:cs="Times New Roman" w:eastAsia="Times New Roman" w:hAnsi="Times New Roman"/>
          <w:b w:val="false"/>
          <w:bCs w:val="false"/>
          <w:i w:val="false"/>
          <w:iCs w:val="false"/>
          <w:sz w:val="24"/>
          <w:szCs w:val="24"/>
        </w:rPr>
        <w:t xml:space="preserve">1. La société est gérée par une ou plusieurs personnes physiques. L'associé unique peut être le gérant de la société. Le gérant est nommé pour une durée de </w:t>
      </w:r>
      <w:r>
        <w:rPr>
          <w:rFonts w:ascii="Times New Roman" w:cs="Times New Roman" w:eastAsia="Times New Roman" w:hAnsi="Times New Roman"/>
          <w:b/>
          <w:bCs/>
          <w:i w:val="false"/>
          <w:iCs w:val="false"/>
          <w:sz w:val="24"/>
          <w:szCs w:val="24"/>
        </w:rPr>
        <w:t xml:space="preserve">{duree_mandat_lettres} ({duree_mandat}) ans</w:t>
      </w:r>
      <w:r>
        <w:rPr>
          <w:rFonts w:ascii="Times New Roman" w:cs="Times New Roman" w:eastAsia="Times New Roman" w:hAnsi="Times New Roman"/>
          <w:b w:val="false"/>
          <w:bCs w:val="false"/>
          <w:i w:val="false"/>
          <w:iCs w:val="false"/>
          <w:sz w:val="24"/>
          <w:szCs w:val="24"/>
        </w:rPr>
        <w:t xml:space="preserve">. La nomination du gérant au cours de la vie sociale est décidée par l'associé unique.</w:t>
      </w:r>
    </w:p>
    <w:p>
      <w:pPr>
        <w:spacing w:after="120"/>
        <w:jc w:val="both"/>
      </w:pPr>
      <w:r>
        <w:rPr>
          <w:rFonts w:ascii="Times New Roman" w:cs="Times New Roman" w:eastAsia="Times New Roman" w:hAnsi="Times New Roman"/>
          <w:b w:val="false"/>
          <w:bCs w:val="false"/>
          <w:i w:val="false"/>
          <w:iCs w:val="false"/>
          <w:sz w:val="24"/>
          <w:szCs w:val="24"/>
        </w:rPr>
        <w:t xml:space="preserve">Est nommé gérant de la société pour une durée de </w:t>
      </w:r>
      <w:r>
        <w:rPr>
          <w:rFonts w:ascii="Times New Roman" w:cs="Times New Roman" w:eastAsia="Times New Roman" w:hAnsi="Times New Roman"/>
          <w:b/>
          <w:bCs/>
          <w:i w:val="false"/>
          <w:iCs w:val="false"/>
          <w:sz w:val="24"/>
          <w:szCs w:val="24"/>
        </w:rPr>
        <w:t xml:space="preserve">{duree_mandat_lettres} ({duree_mandat}) ans</w:t>
      </w:r>
      <w:r>
        <w:rPr>
          <w:rFonts w:ascii="Times New Roman" w:cs="Times New Roman" w:eastAsia="Times New Roman" w:hAnsi="Times New Roman"/>
          <w:b w:val="false"/>
          <w:bCs w:val="false"/>
          <w:i w:val="false"/>
          <w:iCs w:val="false"/>
          <w:sz w:val="24"/>
          <w:szCs w:val="24"/>
        </w:rPr>
        <w:t xml:space="preserve">:</w:t>
      </w:r>
    </w:p>
    <w:p>
      <w:pPr>
        <w:spacing w:after="120"/>
        <w:jc w:val="both"/>
      </w:pPr>
      <w:r>
        <w:rPr>
          <w:rFonts w:ascii="Times New Roman" w:cs="Times New Roman" w:eastAsia="Times New Roman" w:hAnsi="Times New Roman"/>
          <w:b w:val="false"/>
          <w:bCs w:val="false"/>
          <w:i w:val="false"/>
          <w:iCs w:val="false"/>
          <w:sz w:val="24"/>
          <w:szCs w:val="24"/>
        </w:rPr>
        <w:t xml:space="preserve">{gerant_civilite} </w:t>
      </w:r>
      <w:r>
        <w:rPr>
          <w:rFonts w:ascii="Times New Roman" w:cs="Times New Roman" w:eastAsia="Times New Roman" w:hAnsi="Times New Roman"/>
          <w:b/>
          <w:bCs/>
          <w:i w:val="false"/>
          <w:iCs w:val="false"/>
          <w:sz w:val="24"/>
          <w:szCs w:val="24"/>
        </w:rPr>
        <w:t xml:space="preserve">{gerant_nom_complet}, {gerant_profession}, résident à {gerant_ville_residence} de nationalité {gerant_nationalite} née le {gerant_date_naissance} à {gerant_lieu_naissance} et titulaire de la {gerant_type_identite} {gerant_numero_identite} délivré le {gerant_date_delivrance_id} et valable {gerant_date_validite_id} par {gerant_lieu_delivrance_id}</w:t>
      </w:r>
      <w:r>
        <w:rPr>
          <w:rFonts w:ascii="Times New Roman" w:cs="Times New Roman" w:eastAsia="Times New Roman" w:hAnsi="Times New Roman"/>
          <w:b w:val="false"/>
          <w:bCs w:val="false"/>
          <w:i w:val="false"/>
          <w:iCs w:val="false"/>
          <w:sz w:val="24"/>
          <w:szCs w:val="24"/>
        </w:rPr>
        <w:t xml:space="preserve"> qui accepte.</w:t>
      </w:r>
    </w:p>
    <w:p>
      <w:pPr>
        <w:spacing w:after="120"/>
        <w:jc w:val="both"/>
      </w:pPr>
      <w:r>
        <w:rPr>
          <w:rFonts w:ascii="Times New Roman" w:cs="Times New Roman" w:eastAsia="Times New Roman" w:hAnsi="Times New Roman"/>
          <w:b w:val="false"/>
          <w:bCs w:val="false"/>
          <w:i w:val="false"/>
          <w:iCs w:val="false"/>
          <w:sz w:val="24"/>
          <w:szCs w:val="24"/>
        </w:rPr>
        <w:t xml:space="preserve">Le gérant est nommé par décision de l'associe unique.</w:t>
      </w:r>
    </w:p>
    <w:p>
      <w:pPr>
        <w:spacing w:after="120"/>
        <w:jc w:val="both"/>
      </w:pPr>
      <w:r>
        <w:rPr>
          <w:rFonts w:ascii="Times New Roman" w:cs="Times New Roman" w:eastAsia="Times New Roman" w:hAnsi="Times New Roman"/>
          <w:b w:val="false"/>
          <w:bCs w:val="false"/>
          <w:i w:val="false"/>
          <w:iCs w:val="false"/>
          <w:sz w:val="24"/>
          <w:szCs w:val="24"/>
        </w:rPr>
        <w:t xml:space="preserve">Le gérant peut démissionner de son mandat, mais seulement en prévenant l'associé unique au moins 3 mois à l'avance, par lettre recommandé avec demande d'avis de réception ou lettre au porteur contre récépissé.</w:t>
      </w:r>
    </w:p>
    <w:p>
      <w:pPr>
        <w:spacing w:after="120"/>
        <w:jc w:val="both"/>
      </w:pPr>
      <w:r>
        <w:rPr>
          <w:rFonts w:ascii="Times New Roman" w:cs="Times New Roman" w:eastAsia="Times New Roman" w:hAnsi="Times New Roman"/>
          <w:b w:val="false"/>
          <w:bCs w:val="false"/>
          <w:i w:val="false"/>
          <w:iCs w:val="false"/>
          <w:sz w:val="24"/>
          <w:szCs w:val="24"/>
        </w:rPr>
        <w:t xml:space="preserve">Le gérant est révocable par décision de l'associé unique.</w:t>
      </w:r>
    </w:p>
    <w:p>
      <w:pPr>
        <w:spacing w:after="120"/>
        <w:jc w:val="both"/>
      </w:pPr>
      <w:r>
        <w:rPr>
          <w:rFonts w:ascii="Times New Roman" w:cs="Times New Roman" w:eastAsia="Times New Roman" w:hAnsi="Times New Roman"/>
          <w:b w:val="false"/>
          <w:bCs w:val="false"/>
          <w:i w:val="false"/>
          <w:iCs w:val="false"/>
          <w:sz w:val="24"/>
          <w:szCs w:val="24"/>
        </w:rPr>
        <w:t xml:space="preserve">La rémunération du gérant est fixée par la décision qui le nomme.</w:t>
      </w:r>
    </w:p>
    <w:p>
      <w:pPr>
        <w:spacing w:before="240" w:after="120"/>
        <w:jc w:val="left"/>
      </w:pPr>
      <w:r>
        <w:rPr>
          <w:rFonts w:ascii="Times New Roman" w:cs="Times New Roman" w:eastAsia="Times New Roman" w:hAnsi="Times New Roman"/>
          <w:b/>
          <w:bCs/>
          <w:i w:val="false"/>
          <w:iCs w:val="false"/>
          <w:sz w:val="24"/>
          <w:szCs w:val="24"/>
          <w:u w:val="single"/>
        </w:rPr>
        <w:t xml:space="preserve">ARTICLE 14 : POUVOIRS DU GERANT</w:t>
      </w:r>
    </w:p>
    <w:p>
      <w:pPr>
        <w:spacing w:after="120"/>
        <w:jc w:val="both"/>
      </w:pPr>
      <w:r>
        <w:rPr>
          <w:rFonts w:ascii="Times New Roman" w:cs="Times New Roman" w:eastAsia="Times New Roman" w:hAnsi="Times New Roman"/>
          <w:b w:val="false"/>
          <w:bCs w:val="false"/>
          <w:i w:val="false"/>
          <w:iCs w:val="false"/>
          <w:sz w:val="24"/>
          <w:szCs w:val="24"/>
        </w:rPr>
        <w:t xml:space="preserve">Le gérant peut faire tous les actes de gestion dans l'intérêt de la société.</w:t>
      </w:r>
    </w:p>
    <w:p>
      <w:pPr>
        <w:spacing w:after="120"/>
        <w:jc w:val="both"/>
      </w:pPr>
      <w:r>
        <w:rPr>
          <w:rFonts w:ascii="Times New Roman" w:cs="Times New Roman" w:eastAsia="Times New Roman" w:hAnsi="Times New Roman"/>
          <w:b w:val="false"/>
          <w:bCs w:val="false"/>
          <w:i w:val="false"/>
          <w:iCs w:val="false"/>
          <w:sz w:val="24"/>
          <w:szCs w:val="24"/>
        </w:rPr>
        <w:t xml:space="preserve">Dans les rapports avec les tiers, le gérant est investi des pouvoirs les plus étendus pour agir en toute circonstance, au nom de la société, sous réserve des pouvoirs expressément attribués à l'associé unique par la loi.</w:t>
      </w:r>
    </w:p>
    <w:p>
      <w:pPr>
        <w:spacing w:after="120"/>
        <w:jc w:val="both"/>
      </w:pPr>
      <w:r>
        <w:rPr>
          <w:rFonts w:ascii="Times New Roman" w:cs="Times New Roman" w:eastAsia="Times New Roman" w:hAnsi="Times New Roman"/>
          <w:b w:val="false"/>
          <w:bCs w:val="false"/>
          <w:i w:val="false"/>
          <w:iCs w:val="false"/>
          <w:sz w:val="24"/>
          <w:szCs w:val="24"/>
        </w:rPr>
        <w:t xml:space="preserve">La société est engagée, même par les actes du gérant qui ne relèvent pas de l'objet social, à moins qu'elle ne prouve que le tiers savait qu'il dépassait cet objet ou qu'il ne pouvait l'ignorer compte tenu des circonstances, étant exclu que la seule publication des statuts suffise constituer cette preuve.</w:t>
      </w:r>
    </w:p>
    <w:p>
      <w:pPr>
        <w:spacing w:before="240" w:after="120"/>
        <w:jc w:val="left"/>
      </w:pPr>
      <w:r>
        <w:rPr>
          <w:rFonts w:ascii="Times New Roman" w:cs="Times New Roman" w:eastAsia="Times New Roman" w:hAnsi="Times New Roman"/>
          <w:b/>
          <w:bCs/>
          <w:i w:val="false"/>
          <w:iCs w:val="false"/>
          <w:sz w:val="24"/>
          <w:szCs w:val="24"/>
          <w:u w:val="single"/>
        </w:rPr>
        <w:t xml:space="preserve">ARTICLE 15 : RESPONSABILITE DU GERANT</w:t>
      </w:r>
    </w:p>
    <w:p>
      <w:pPr>
        <w:spacing w:after="120"/>
        <w:jc w:val="both"/>
      </w:pPr>
      <w:r>
        <w:rPr>
          <w:rFonts w:ascii="Times New Roman" w:cs="Times New Roman" w:eastAsia="Times New Roman" w:hAnsi="Times New Roman"/>
          <w:b w:val="false"/>
          <w:bCs w:val="false"/>
          <w:i w:val="false"/>
          <w:iCs w:val="false"/>
          <w:sz w:val="24"/>
          <w:szCs w:val="24"/>
        </w:rPr>
        <w:t xml:space="preserve">Le gérant est responsable, envers la société ou envers les tiers, soit des infractions aux dispositions législatives ou réglementaires applicables aux sociétés à responsabilité limitée, soit des violations des statuts, soit des fautes commises dans sa gestion. Si plusieurs gérants ont coopéré aux mêmes faits, le tribunal chargé des affaires commerciales détermine la part contributive de chacun dans la réparation du dommage.</w:t>
      </w:r>
    </w:p>
    <w:p>
      <w:pPr>
        <w:spacing w:after="120"/>
        <w:jc w:val="both"/>
      </w:pPr>
      <w:r>
        <w:rPr>
          <w:rFonts w:ascii="Times New Roman" w:cs="Times New Roman" w:eastAsia="Times New Roman" w:hAnsi="Times New Roman"/>
          <w:b w:val="false"/>
          <w:bCs w:val="false"/>
          <w:i w:val="false"/>
          <w:iCs w:val="false"/>
          <w:sz w:val="24"/>
          <w:szCs w:val="24"/>
        </w:rPr>
        <w:t xml:space="preserve">Aucune décision de l'associé unique ne peut avoir pour effet d'éteindre une action en responsabilité contre les gérants pour faute commise dans l'accomplissement de leur mandat.</w:t>
      </w:r>
    </w:p>
    <w:p>
      <w:pPr>
        <w:spacing w:before="240" w:after="120"/>
        <w:jc w:val="left"/>
      </w:pPr>
      <w:r>
        <w:rPr>
          <w:rFonts w:ascii="Times New Roman" w:cs="Times New Roman" w:eastAsia="Times New Roman" w:hAnsi="Times New Roman"/>
          <w:b/>
          <w:bCs/>
          <w:i w:val="false"/>
          <w:iCs w:val="false"/>
          <w:sz w:val="24"/>
          <w:szCs w:val="24"/>
          <w:u w:val="single"/>
        </w:rPr>
        <w:t xml:space="preserve">ARTICLE 16 : DECISIONS DE L'ASSOCIE UNIQUE</w:t>
      </w:r>
    </w:p>
    <w:p>
      <w:pPr>
        <w:spacing w:after="120"/>
        <w:jc w:val="both"/>
      </w:pPr>
      <w:r>
        <w:rPr>
          <w:rFonts w:ascii="Times New Roman" w:cs="Times New Roman" w:eastAsia="Times New Roman" w:hAnsi="Times New Roman"/>
          <w:b w:val="false"/>
          <w:bCs w:val="false"/>
          <w:i w:val="false"/>
          <w:iCs w:val="false"/>
          <w:sz w:val="24"/>
          <w:szCs w:val="24"/>
        </w:rPr>
        <w:t xml:space="preserve">L'associé unique exerce les pouvoirs dévolus par l'Acte Uniforme relatif au droit des sociétés commerciales et du GIE.</w:t>
      </w:r>
    </w:p>
    <w:p>
      <w:pPr>
        <w:spacing w:after="120"/>
        <w:jc w:val="both"/>
      </w:pPr>
      <w:r>
        <w:rPr>
          <w:rFonts w:ascii="Times New Roman" w:cs="Times New Roman" w:eastAsia="Times New Roman" w:hAnsi="Times New Roman"/>
          <w:b w:val="false"/>
          <w:bCs w:val="false"/>
          <w:i w:val="false"/>
          <w:iCs w:val="false"/>
          <w:sz w:val="24"/>
          <w:szCs w:val="24"/>
        </w:rPr>
        <w:t xml:space="preserve">L'associé unique ne peut déléguer ses pouvoirs. Ses décisions sont consignées dans un procès-verbal versé dans les archives de la société.</w:t>
      </w:r>
    </w:p>
    <w:p>
      <w:pPr>
        <w:spacing w:before="240" w:after="120"/>
        <w:jc w:val="left"/>
      </w:pPr>
      <w:r>
        <w:rPr>
          <w:rFonts w:ascii="Times New Roman" w:cs="Times New Roman" w:eastAsia="Times New Roman" w:hAnsi="Times New Roman"/>
          <w:b/>
          <w:bCs/>
          <w:i w:val="false"/>
          <w:iCs w:val="false"/>
          <w:sz w:val="24"/>
          <w:szCs w:val="24"/>
          <w:u w:val="single"/>
        </w:rPr>
        <w:t xml:space="preserve">ARTICLE 17 : COMPTES SOCIAUX</w:t>
      </w:r>
    </w:p>
    <w:p>
      <w:pPr>
        <w:spacing w:after="120"/>
        <w:jc w:val="both"/>
      </w:pPr>
      <w:r>
        <w:rPr>
          <w:rFonts w:ascii="Times New Roman" w:cs="Times New Roman" w:eastAsia="Times New Roman" w:hAnsi="Times New Roman"/>
          <w:b w:val="false"/>
          <w:bCs w:val="false"/>
          <w:i w:val="false"/>
          <w:iCs w:val="false"/>
          <w:sz w:val="24"/>
          <w:szCs w:val="24"/>
        </w:rPr>
        <w:t xml:space="preserve">A la clôture de chaque exercice, le gérant établit et arrête les états financiers de synthèse conformément aux dispositions de l'Acte Uniforme portant organisation et harmonisation des comptabilités.</w:t>
      </w:r>
    </w:p>
    <w:p>
      <w:pPr>
        <w:spacing w:after="120"/>
        <w:jc w:val="both"/>
      </w:pPr>
      <w:r>
        <w:rPr>
          <w:rFonts w:ascii="Times New Roman" w:cs="Times New Roman" w:eastAsia="Times New Roman" w:hAnsi="Times New Roman"/>
          <w:b w:val="false"/>
          <w:bCs w:val="false"/>
          <w:i w:val="false"/>
          <w:iCs w:val="false"/>
          <w:sz w:val="24"/>
          <w:szCs w:val="24"/>
        </w:rPr>
        <w:t xml:space="preserve">Le gérant établit un rapport de gestion dans lequel il expose la situation de la société durant l'exercice écoulé, son évolution prévisible et, en particulier les perspectives de continuation de l'activité, l'évolution de la situation de trésorerie et le plan de financement.</w:t>
      </w:r>
    </w:p>
    <w:p>
      <w:pPr>
        <w:spacing w:after="120"/>
        <w:jc w:val="both"/>
      </w:pPr>
      <w:r>
        <w:rPr>
          <w:rFonts w:ascii="Times New Roman" w:cs="Times New Roman" w:eastAsia="Times New Roman" w:hAnsi="Times New Roman"/>
          <w:b w:val="false"/>
          <w:bCs w:val="false"/>
          <w:i w:val="false"/>
          <w:iCs w:val="false"/>
          <w:sz w:val="24"/>
          <w:szCs w:val="24"/>
        </w:rPr>
        <w:t xml:space="preserve">Ces documents ainsi que les textes des résolutions proposées et, le cas échéant, les rapports du commissaire aux comptes sont communiqués à l'associé unique dans les conditions et délais prévus par les dispositions légales et réglementaires.</w:t>
      </w:r>
    </w:p>
    <w:p>
      <w:pPr>
        <w:spacing w:after="120"/>
        <w:jc w:val="both"/>
      </w:pPr>
      <w:r>
        <w:rPr>
          <w:rFonts w:ascii="Times New Roman" w:cs="Times New Roman" w:eastAsia="Times New Roman" w:hAnsi="Times New Roman"/>
          <w:b w:val="false"/>
          <w:bCs w:val="false"/>
          <w:i w:val="false"/>
          <w:iCs w:val="false"/>
          <w:sz w:val="24"/>
          <w:szCs w:val="24"/>
        </w:rPr>
        <w:t xml:space="preserve">A compter de cette communication, l'associé unique a la possibilité de poser par écrit des questions auxquelles le gérant sera tenu de répondre.</w:t>
      </w:r>
    </w:p>
    <w:p>
      <w:pPr>
        <w:spacing w:after="120"/>
        <w:jc w:val="both"/>
      </w:pPr>
      <w:r>
        <w:rPr>
          <w:rFonts w:ascii="Times New Roman" w:cs="Times New Roman" w:eastAsia="Times New Roman" w:hAnsi="Times New Roman"/>
          <w:b w:val="false"/>
          <w:bCs w:val="false"/>
          <w:i w:val="false"/>
          <w:iCs w:val="false"/>
          <w:sz w:val="24"/>
          <w:szCs w:val="24"/>
        </w:rPr>
        <w:t xml:space="preserve">L'associé unique est tenu de statuer sur les comptes de l'exercice écoulé dans les six mois de la clôture de l'exercice ou, en cas de prolongation, dans le délai fixé par décision de justice.</w:t>
      </w:r>
    </w:p>
    <w:p>
      <w:pPr>
        <w:spacing w:before="240" w:after="120"/>
        <w:jc w:val="left"/>
      </w:pPr>
      <w:r>
        <w:rPr>
          <w:rFonts w:ascii="Times New Roman" w:cs="Times New Roman" w:eastAsia="Times New Roman" w:hAnsi="Times New Roman"/>
          <w:b/>
          <w:bCs/>
          <w:i w:val="false"/>
          <w:iCs w:val="false"/>
          <w:sz w:val="24"/>
          <w:szCs w:val="24"/>
          <w:u w:val="single"/>
        </w:rPr>
        <w:t xml:space="preserve">ARTICLE 18 : AFFECTATION DES RESULTATS</w:t>
      </w:r>
    </w:p>
    <w:p>
      <w:pPr>
        <w:spacing w:after="120"/>
        <w:jc w:val="both"/>
      </w:pPr>
      <w:r>
        <w:rPr>
          <w:rFonts w:ascii="Times New Roman" w:cs="Times New Roman" w:eastAsia="Times New Roman" w:hAnsi="Times New Roman"/>
          <w:b w:val="false"/>
          <w:bCs w:val="false"/>
          <w:i w:val="false"/>
          <w:iCs w:val="false"/>
          <w:sz w:val="24"/>
          <w:szCs w:val="24"/>
        </w:rPr>
        <w:t xml:space="preserve">Après approbation des comptes et constatations de l'existence d'un bénéfice distribuable, l'associé unique détermine la part attribuée sous forme de dividende.</w:t>
      </w:r>
    </w:p>
    <w:p>
      <w:pPr>
        <w:spacing w:after="120"/>
        <w:jc w:val="both"/>
      </w:pPr>
      <w:r>
        <w:rPr>
          <w:rFonts w:ascii="Times New Roman" w:cs="Times New Roman" w:eastAsia="Times New Roman" w:hAnsi="Times New Roman"/>
          <w:b w:val="false"/>
          <w:bCs w:val="false"/>
          <w:i w:val="false"/>
          <w:iCs w:val="false"/>
          <w:sz w:val="24"/>
          <w:szCs w:val="24"/>
        </w:rPr>
        <w:t xml:space="preserve">Il est pratiqué sur le bénéfice de l'exercice diminué, le cas échéant, des pertes antérieures, une dotation égale à un dixième au moins affecté à la formation d'un fonds de réserve dit "réserve légale". Cette dotation cesse d'être obligatoire lorsque la réserve atteint le cinquième du montant du capital social.</w:t>
      </w:r>
    </w:p>
    <w:p>
      <w:pPr>
        <w:spacing w:after="120"/>
        <w:jc w:val="both"/>
      </w:pPr>
      <w:r>
        <w:rPr>
          <w:rFonts w:ascii="Times New Roman" w:cs="Times New Roman" w:eastAsia="Times New Roman" w:hAnsi="Times New Roman"/>
          <w:b w:val="false"/>
          <w:bCs w:val="false"/>
          <w:i w:val="false"/>
          <w:iCs w:val="false"/>
          <w:sz w:val="24"/>
          <w:szCs w:val="24"/>
        </w:rPr>
        <w:t xml:space="preserve">L'associé unique a la faculté de constituer tous postes de réserves.</w:t>
      </w:r>
    </w:p>
    <w:p>
      <w:pPr>
        <w:spacing w:after="120"/>
        <w:jc w:val="both"/>
      </w:pPr>
      <w:r>
        <w:rPr>
          <w:rFonts w:ascii="Times New Roman" w:cs="Times New Roman" w:eastAsia="Times New Roman" w:hAnsi="Times New Roman"/>
          <w:b w:val="false"/>
          <w:bCs w:val="false"/>
          <w:i w:val="false"/>
          <w:iCs w:val="false"/>
          <w:sz w:val="24"/>
          <w:szCs w:val="24"/>
        </w:rPr>
        <w:t xml:space="preserve">Il peut procéder à la distribution de tout ou partie des réserves à la condition qu'il ne s'agisse pas de réserves déclarées indisponibles par la loi ou par les statuts. Dans ce cas, il indique expressément les postes de réserve sur lesquels les prélèvements sont effectués. La société est tenue de déposer au Registre du Commerce et du Crédit Mobilier, du lieu du siège social dans le mois qui suit leur approbation par les organes compétents, les états financiers de synthèse, à savoir le bilan, le compte de résultat, le tableau des ressources et des emplois et l'état annexé de l'exercice écoulé.</w:t>
      </w:r>
    </w:p>
    <w:p>
      <w:pPr>
        <w:spacing w:before="240" w:after="120"/>
        <w:jc w:val="left"/>
      </w:pPr>
      <w:r>
        <w:rPr>
          <w:rFonts w:ascii="Times New Roman" w:cs="Times New Roman" w:eastAsia="Times New Roman" w:hAnsi="Times New Roman"/>
          <w:b/>
          <w:bCs/>
          <w:i w:val="false"/>
          <w:iCs w:val="false"/>
          <w:sz w:val="24"/>
          <w:szCs w:val="24"/>
          <w:u w:val="single"/>
        </w:rPr>
        <w:t xml:space="preserve">ARTICLE 19 : VARIATION DES CAPITAUX PROPRES</w:t>
      </w:r>
    </w:p>
    <w:p>
      <w:pPr>
        <w:spacing w:after="120"/>
        <w:jc w:val="both"/>
      </w:pPr>
      <w:r>
        <w:rPr>
          <w:rFonts w:ascii="Times New Roman" w:cs="Times New Roman" w:eastAsia="Times New Roman" w:hAnsi="Times New Roman"/>
          <w:b w:val="false"/>
          <w:bCs w:val="false"/>
          <w:i w:val="false"/>
          <w:iCs w:val="false"/>
          <w:sz w:val="24"/>
          <w:szCs w:val="24"/>
        </w:rPr>
        <w:t xml:space="preserve">Si du fait des pertes constatées dans les états financiers de synthèse, les capitaux propres de la société deviennent inférieurs à la moitié du capital social, le gérant ou, le cas échéant, le commissaire aux comptes doit dans les quatre mois qui suivent l'approbation des comptes ayant fait apparaître cette perte, consulter l'associé unique sur l'opportunité de prononcer la dissolution anticipée de la société.</w:t>
      </w:r>
    </w:p>
    <w:p>
      <w:pPr>
        <w:spacing w:after="120"/>
        <w:jc w:val="both"/>
      </w:pPr>
      <w:r>
        <w:rPr>
          <w:rFonts w:ascii="Times New Roman" w:cs="Times New Roman" w:eastAsia="Times New Roman" w:hAnsi="Times New Roman"/>
          <w:b w:val="false"/>
          <w:bCs w:val="false"/>
          <w:i w:val="false"/>
          <w:iCs w:val="false"/>
          <w:sz w:val="24"/>
          <w:szCs w:val="24"/>
        </w:rPr>
        <w:t xml:space="preserve">Si la dissolution est écartée, la société est tenue, dans les deux ans qui suivent la date de clôture de l'exercice déficitaire, de reconstituer ses capitaux propres jusqu'à ce que ceux-ci soient à la hauteur de la moitié au moins du capital social.</w:t>
      </w:r>
    </w:p>
    <w:p>
      <w:pPr>
        <w:spacing w:after="120"/>
        <w:jc w:val="both"/>
      </w:pPr>
      <w:r>
        <w:rPr>
          <w:rFonts w:ascii="Times New Roman" w:cs="Times New Roman" w:eastAsia="Times New Roman" w:hAnsi="Times New Roman"/>
          <w:b w:val="false"/>
          <w:bCs w:val="false"/>
          <w:i w:val="false"/>
          <w:iCs w:val="false"/>
          <w:sz w:val="24"/>
          <w:szCs w:val="24"/>
        </w:rPr>
        <w:t xml:space="preserve">A défaut, elle doit réduire son capital d'un montant au moins égal à celui des pertes qui n'ont pu être imputées sur les réserves, à la condition que cette réduction du capital n'ait pas pour effet de réduire le capital à un montant inférieur à celui du capital minimum légal.</w:t>
      </w:r>
    </w:p>
    <w:p>
      <w:pPr>
        <w:spacing w:after="120"/>
        <w:jc w:val="both"/>
      </w:pPr>
      <w:r>
        <w:rPr>
          <w:rFonts w:ascii="Times New Roman" w:cs="Times New Roman" w:eastAsia="Times New Roman" w:hAnsi="Times New Roman"/>
          <w:b w:val="false"/>
          <w:bCs w:val="false"/>
          <w:i w:val="false"/>
          <w:iCs w:val="false"/>
          <w:sz w:val="24"/>
          <w:szCs w:val="24"/>
        </w:rPr>
        <w:t xml:space="preserve">A défaut par le gérant ou le commissaire aux comptes de provoquer cette décision, ou si l'associé unique n'a pu prendre de décision valablement, tout intéressé peut demander à la juridiction compétente de prononcer la dissolution de la société. </w:t>
      </w:r>
      <w:r>
        <w:rPr>
          <w:rFonts w:ascii="Times New Roman" w:cs="Times New Roman" w:eastAsia="Times New Roman" w:hAnsi="Times New Roman"/>
          <w:b w:val="false"/>
          <w:bCs w:val="false"/>
          <w:i/>
          <w:iCs/>
          <w:sz w:val="24"/>
          <w:szCs w:val="24"/>
        </w:rPr>
        <w:t xml:space="preserve">Il en est de même si la reconstitution des capitaux propres n'est pas intervenue dans les délais prescrits.</w:t>
      </w:r>
    </w:p>
    <w:p>
      <w:pPr>
        <w:spacing w:before="240" w:after="120"/>
        <w:jc w:val="left"/>
      </w:pPr>
      <w:r>
        <w:rPr>
          <w:rFonts w:ascii="Times New Roman" w:cs="Times New Roman" w:eastAsia="Times New Roman" w:hAnsi="Times New Roman"/>
          <w:b/>
          <w:bCs/>
          <w:i w:val="false"/>
          <w:iCs w:val="false"/>
          <w:sz w:val="24"/>
          <w:szCs w:val="24"/>
          <w:u w:val="single"/>
        </w:rPr>
        <w:t xml:space="preserve">ARTICLE 20 : CONTROLE DES COMPTES</w:t>
      </w:r>
    </w:p>
    <w:p>
      <w:pPr>
        <w:spacing w:after="120"/>
        <w:jc w:val="both"/>
      </w:pPr>
      <w:r>
        <w:rPr>
          <w:rFonts w:ascii="Times New Roman" w:cs="Times New Roman" w:eastAsia="Times New Roman" w:hAnsi="Times New Roman"/>
          <w:b w:val="false"/>
          <w:bCs w:val="false"/>
          <w:i w:val="false"/>
          <w:iCs w:val="false"/>
          <w:sz w:val="24"/>
          <w:szCs w:val="24"/>
        </w:rPr>
        <w:t xml:space="preserve">Un ou plusieurs commissaires aux comptes titulaires et suppléants seront désignés lorsque qu'à la clôture d'un exercice social, la société remplit deux des conditions suivantes :</w:t>
      </w:r>
    </w:p>
    <w:p>
      <w:pPr>
        <w:spacing w:after="120"/>
        <w:ind w:left="720"/>
        <w:jc w:val="both"/>
      </w:pPr>
      <w:r>
        <w:rPr>
          <w:rFonts w:ascii="Times New Roman" w:cs="Times New Roman" w:eastAsia="Times New Roman" w:hAnsi="Times New Roman"/>
          <w:b w:val="false"/>
          <w:bCs w:val="false"/>
          <w:i w:val="false"/>
          <w:iCs w:val="false"/>
          <w:sz w:val="24"/>
          <w:szCs w:val="24"/>
        </w:rPr>
        <w:t xml:space="preserve">-  total du bilan supérieur à cent vingt- cinq millions (125 000 000) de francs CFA ;</w:t>
      </w:r>
    </w:p>
    <w:p>
      <w:pPr>
        <w:spacing w:after="120"/>
        <w:ind w:left="720"/>
        <w:jc w:val="both"/>
      </w:pPr>
      <w:r>
        <w:rPr>
          <w:rFonts w:ascii="Times New Roman" w:cs="Times New Roman" w:eastAsia="Times New Roman" w:hAnsi="Times New Roman"/>
          <w:b w:val="false"/>
          <w:bCs w:val="false"/>
          <w:i w:val="false"/>
          <w:iCs w:val="false"/>
          <w:sz w:val="24"/>
          <w:szCs w:val="24"/>
        </w:rPr>
        <w:t xml:space="preserve">-  chiffre d'affaire annuel supérieur à deux cent cinquante millions (250 000 000) de francs CFA ;</w:t>
      </w:r>
    </w:p>
    <w:p>
      <w:pPr>
        <w:spacing w:after="120"/>
        <w:ind w:left="720"/>
        <w:jc w:val="both"/>
      </w:pPr>
      <w:r>
        <w:rPr>
          <w:rFonts w:ascii="Times New Roman" w:cs="Times New Roman" w:eastAsia="Times New Roman" w:hAnsi="Times New Roman"/>
          <w:b w:val="false"/>
          <w:bCs w:val="false"/>
          <w:i w:val="false"/>
          <w:iCs w:val="false"/>
          <w:sz w:val="24"/>
          <w:szCs w:val="24"/>
        </w:rPr>
        <w:t xml:space="preserve">-  effectif permanent supérieur à cinquante (50) personnes ;</w:t>
      </w:r>
    </w:p>
    <w:p>
      <w:pPr>
        <w:spacing w:after="120"/>
        <w:jc w:val="both"/>
      </w:pPr>
      <w:r>
        <w:rPr>
          <w:rFonts w:ascii="Times New Roman" w:cs="Times New Roman" w:eastAsia="Times New Roman" w:hAnsi="Times New Roman"/>
          <w:b w:val="false"/>
          <w:bCs w:val="false"/>
          <w:i w:val="false"/>
          <w:iCs w:val="false"/>
          <w:sz w:val="24"/>
          <w:szCs w:val="24"/>
        </w:rPr>
        <w:t xml:space="preserve">Le commissaire aux comptes est nommé pour trois (3) exercices par un ou plusieurs associés représentant plus de la moitié du capital.</w:t>
      </w:r>
    </w:p>
    <w:p>
      <w:pPr>
        <w:spacing w:after="120"/>
        <w:jc w:val="both"/>
      </w:pPr>
      <w:r>
        <w:rPr>
          <w:rFonts w:ascii="Times New Roman" w:cs="Times New Roman" w:eastAsia="Times New Roman" w:hAnsi="Times New Roman"/>
          <w:b w:val="false"/>
          <w:bCs w:val="false"/>
          <w:i w:val="false"/>
          <w:iCs w:val="false"/>
          <w:sz w:val="24"/>
          <w:szCs w:val="24"/>
        </w:rPr>
        <w:t xml:space="preserve">La société n'est plus tenue de désigner un commissaire aux comptes dès lors qu'elle n'a pas rempli deux (2) des conditions fixées ci-dessus pendant les (2) exercices précédant l'expiration du mandat du commissaire aux comptes.</w:t>
      </w:r>
    </w:p>
    <w:p>
      <w:pPr>
        <w:spacing w:before="240" w:after="120"/>
        <w:jc w:val="left"/>
      </w:pPr>
      <w:r>
        <w:rPr>
          <w:rFonts w:ascii="Times New Roman" w:cs="Times New Roman" w:eastAsia="Times New Roman" w:hAnsi="Times New Roman"/>
          <w:b/>
          <w:bCs/>
          <w:i w:val="false"/>
          <w:iCs w:val="false"/>
          <w:sz w:val="24"/>
          <w:szCs w:val="24"/>
          <w:u w:val="single"/>
        </w:rPr>
        <w:t xml:space="preserve">ARTICLE 21 : DISSOLUTION</w:t>
      </w:r>
    </w:p>
    <w:p>
      <w:pPr>
        <w:spacing w:after="120"/>
        <w:jc w:val="both"/>
      </w:pPr>
      <w:r>
        <w:rPr>
          <w:rFonts w:ascii="Times New Roman" w:cs="Times New Roman" w:eastAsia="Times New Roman" w:hAnsi="Times New Roman"/>
          <w:b w:val="false"/>
          <w:bCs w:val="false"/>
          <w:i w:val="false"/>
          <w:iCs w:val="false"/>
          <w:sz w:val="24"/>
          <w:szCs w:val="24"/>
        </w:rPr>
        <w:t xml:space="preserve">La société à responsabilité limitée est dissoute pour les causes communes à toutes les sociétés. La dissolution de la société n'entraîne pas sa mise en liquidation.</w:t>
      </w:r>
    </w:p>
    <w:p>
      <w:pPr>
        <w:spacing w:before="240" w:after="120"/>
        <w:jc w:val="left"/>
      </w:pPr>
      <w:r>
        <w:rPr>
          <w:rFonts w:ascii="Times New Roman" w:cs="Times New Roman" w:eastAsia="Times New Roman" w:hAnsi="Times New Roman"/>
          <w:b/>
          <w:bCs/>
          <w:i w:val="false"/>
          <w:iCs w:val="false"/>
          <w:sz w:val="24"/>
          <w:szCs w:val="24"/>
          <w:u w:val="single"/>
        </w:rPr>
        <w:t xml:space="preserve">ARTICLE 22 : ENGAGEMENTS POUR LE COMPTE DE LA SOCIETE</w:t>
      </w:r>
    </w:p>
    <w:p>
      <w:pPr>
        <w:spacing w:after="120"/>
        <w:jc w:val="both"/>
      </w:pPr>
      <w:r>
        <w:rPr>
          <w:rFonts w:ascii="Times New Roman" w:cs="Times New Roman" w:eastAsia="Times New Roman" w:hAnsi="Times New Roman"/>
          <w:b w:val="false"/>
          <w:bCs w:val="false"/>
          <w:i w:val="false"/>
          <w:iCs w:val="false"/>
          <w:sz w:val="24"/>
          <w:szCs w:val="24"/>
        </w:rPr>
        <w:t xml:space="preserve">1. Un état des actes accomplis par l'associé unique pour le compte de la société en formation, avec l'indication, de l'engagement qui en résulterait pour la société, est annexé aux présents statuts.</w:t>
      </w:r>
    </w:p>
    <w:p>
      <w:pPr>
        <w:spacing w:after="120"/>
        <w:jc w:val="both"/>
      </w:pPr>
      <w:r>
        <w:rPr>
          <w:rFonts w:ascii="Times New Roman" w:cs="Times New Roman" w:eastAsia="Times New Roman" w:hAnsi="Times New Roman"/>
          <w:b w:val="false"/>
          <w:bCs w:val="false"/>
          <w:i w:val="false"/>
          <w:iCs w:val="false"/>
          <w:sz w:val="24"/>
          <w:szCs w:val="24"/>
        </w:rPr>
        <w:t xml:space="preserve">2. En outre, le soussigné se réserve le droit de prendre les engagements suivants au nom et pour le compte de la société : </w:t>
      </w:r>
      <w:r>
        <w:rPr>
          <w:rFonts w:ascii="Times New Roman" w:cs="Times New Roman" w:eastAsia="Times New Roman" w:hAnsi="Times New Roman"/>
          <w:b/>
          <w:bCs/>
          <w:i w:val="false"/>
          <w:iCs w:val="false"/>
          <w:sz w:val="24"/>
          <w:szCs w:val="24"/>
        </w:rPr>
        <w:t xml:space="preserve">{denomination_complete}</w:t>
      </w:r>
    </w:p>
    <w:p>
      <w:pPr>
        <w:spacing w:before="240" w:after="120"/>
        <w:jc w:val="left"/>
      </w:pPr>
      <w:r>
        <w:rPr>
          <w:rFonts w:ascii="Times New Roman" w:cs="Times New Roman" w:eastAsia="Times New Roman" w:hAnsi="Times New Roman"/>
          <w:b/>
          <w:bCs/>
          <w:i w:val="false"/>
          <w:iCs w:val="false"/>
          <w:sz w:val="24"/>
          <w:szCs w:val="24"/>
          <w:u w:val="single"/>
        </w:rPr>
        <w:t xml:space="preserve">ARTICLE 23 : FRAIS</w:t>
      </w:r>
    </w:p>
    <w:p>
      <w:pPr>
        <w:spacing w:after="120"/>
        <w:jc w:val="both"/>
      </w:pPr>
      <w:r>
        <w:rPr>
          <w:rFonts w:ascii="Times New Roman" w:cs="Times New Roman" w:eastAsia="Times New Roman" w:hAnsi="Times New Roman"/>
          <w:b w:val="false"/>
          <w:bCs w:val="false"/>
          <w:i w:val="false"/>
          <w:iCs w:val="false"/>
          <w:sz w:val="24"/>
          <w:szCs w:val="24"/>
        </w:rPr>
        <w:t xml:space="preserve">Les frais, droits et honoraires des présents statuts sont à la charge de la société.</w:t>
      </w:r>
    </w:p>
    <w:p>
      <w:pPr>
        <w:spacing w:before="240" w:after="120"/>
        <w:jc w:val="left"/>
      </w:pPr>
      <w:r>
        <w:rPr>
          <w:rFonts w:ascii="Times New Roman" w:cs="Times New Roman" w:eastAsia="Times New Roman" w:hAnsi="Times New Roman"/>
          <w:b/>
          <w:bCs/>
          <w:i w:val="false"/>
          <w:iCs w:val="false"/>
          <w:sz w:val="24"/>
          <w:szCs w:val="24"/>
          <w:u w:val="single"/>
        </w:rPr>
        <w:t xml:space="preserve">ARTICLE 24 : ELECTION DE DOMICILE</w:t>
      </w:r>
    </w:p>
    <w:p>
      <w:pPr>
        <w:spacing w:after="120"/>
        <w:jc w:val="both"/>
      </w:pPr>
      <w:r>
        <w:rPr>
          <w:rFonts w:ascii="Times New Roman" w:cs="Times New Roman" w:eastAsia="Times New Roman" w:hAnsi="Times New Roman"/>
          <w:b w:val="false"/>
          <w:bCs w:val="false"/>
          <w:i w:val="false"/>
          <w:iCs w:val="false"/>
          <w:sz w:val="24"/>
          <w:szCs w:val="24"/>
        </w:rPr>
        <w:t xml:space="preserve">Pour l'exécution des présentes et de leurs suites, le soussigné déclare faire élection de domicile au siège social.</w:t>
      </w:r>
    </w:p>
    <w:p>
      <w:pPr>
        <w:spacing w:before="240" w:after="120"/>
        <w:jc w:val="left"/>
      </w:pPr>
      <w:r>
        <w:rPr>
          <w:rFonts w:ascii="Times New Roman" w:cs="Times New Roman" w:eastAsia="Times New Roman" w:hAnsi="Times New Roman"/>
          <w:b/>
          <w:bCs/>
          <w:i w:val="false"/>
          <w:iCs w:val="false"/>
          <w:sz w:val="24"/>
          <w:szCs w:val="24"/>
          <w:u w:val="single"/>
        </w:rPr>
        <w:t xml:space="preserve">ARTICLE 25 : POUVOIRS</w:t>
      </w:r>
    </w:p>
    <w:p>
      <w:pPr>
        <w:spacing w:after="120"/>
        <w:jc w:val="both"/>
      </w:pPr>
      <w:r>
        <w:rPr>
          <w:rFonts w:ascii="Times New Roman" w:cs="Times New Roman" w:eastAsia="Times New Roman" w:hAnsi="Times New Roman"/>
          <w:b w:val="false"/>
          <w:bCs w:val="false"/>
          <w:i w:val="false"/>
          <w:iCs w:val="false"/>
          <w:sz w:val="24"/>
          <w:szCs w:val="24"/>
        </w:rPr>
        <w:t xml:space="preserve">L'associé donnent tous pouvoirs à </w:t>
      </w:r>
      <w:r>
        <w:rPr>
          <w:rFonts w:ascii="Times New Roman" w:cs="Times New Roman" w:eastAsia="Times New Roman" w:hAnsi="Times New Roman"/>
          <w:b/>
          <w:bCs/>
          <w:i w:val="false"/>
          <w:iCs w:val="false"/>
          <w:sz w:val="24"/>
          <w:szCs w:val="24"/>
        </w:rPr>
        <w:t xml:space="preserve">{gerant_civilite} {gerant_nom_complet}, {gerant_profession}, résident à {gerant_ville_residence} de nationalité {gerant_nationalite} née le {gerant_date_naissance} à {gerant_lieu_naissance} et titulaire de la {gerant_type_identite} {gerant_numero_identite} délivré le {gerant_date_delivrance_id} et valable {gerant_date_validite_id} par {gerant_lieu_delivrance_id}</w:t>
      </w:r>
      <w:r>
        <w:rPr>
          <w:rFonts w:ascii="Times New Roman" w:cs="Times New Roman" w:eastAsia="Times New Roman" w:hAnsi="Times New Roman"/>
          <w:b w:val="false"/>
          <w:bCs w:val="false"/>
          <w:i w:val="false"/>
          <w:iCs w:val="false"/>
          <w:sz w:val="24"/>
          <w:szCs w:val="24"/>
        </w:rPr>
        <w:t xml:space="preserve"> de procéder à l'enregistrement des présents statuts, accomplir les formalités d'immatriculation au Registre du Commerce et du Crédit Mobilier, et pour les besoins de formalités, de signer tout acte et en donner bonne et valable décharge.</w:t>
      </w:r>
    </w:p>
    <w:p>
      <w:pPr>
        <w:spacing w:after="400"/>
      </w:pPr>
      <w:r>
        <w:rPr>
          <w:rFonts w:ascii="Times New Roman" w:cs="Times New Roman" w:eastAsia="Times New Roman" w:hAnsi="Times New Roman"/>
          <w:sz w:val="24"/>
          <w:szCs w:val="24"/>
        </w:rPr>
        <w:t xml:space="preserve"/>
      </w:r>
    </w:p>
    <w:p>
      <w:pPr>
        <w:spacing w:after="120"/>
        <w:jc w:val="left"/>
      </w:pPr>
      <w:r>
        <w:rPr>
          <w:rFonts w:ascii="Times New Roman" w:cs="Times New Roman" w:eastAsia="Times New Roman" w:hAnsi="Times New Roman"/>
          <w:b w:val="false"/>
          <w:bCs w:val="false"/>
          <w:i w:val="false"/>
          <w:iCs w:val="false"/>
          <w:sz w:val="24"/>
          <w:szCs w:val="24"/>
        </w:rPr>
        <w:t xml:space="preserve">Fait à A {ville} le  {date_constitution}</w:t>
      </w:r>
    </w:p>
    <w:p>
      <w:pPr>
        <w:spacing w:after="120"/>
      </w:pPr>
      <w:r>
        <w:rPr>
          <w:rFonts w:ascii="Times New Roman" w:cs="Times New Roman" w:eastAsia="Times New Roman" w:hAnsi="Times New Roman"/>
          <w:sz w:val="24"/>
          <w:szCs w:val="24"/>
        </w:rPr>
        <w:t xml:space="preserve"/>
      </w:r>
    </w:p>
    <w:p>
      <w:pPr>
        <w:spacing w:after="120"/>
        <w:jc w:val="left"/>
      </w:pPr>
      <w:r>
        <w:rPr>
          <w:rFonts w:ascii="Times New Roman" w:cs="Times New Roman" w:eastAsia="Times New Roman" w:hAnsi="Times New Roman"/>
          <w:b w:val="false"/>
          <w:bCs w:val="false"/>
          <w:i w:val="false"/>
          <w:iCs w:val="false"/>
          <w:sz w:val="24"/>
          <w:szCs w:val="24"/>
        </w:rPr>
        <w:t xml:space="preserve">EN DEUX (2)  EXEMPLAIRES ORIGINAUX</w:t>
      </w:r>
    </w:p>
    <w:p>
      <w:pPr>
        <w:spacing w:after="40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i w:val="false"/>
          <w:iCs w:val="false"/>
          <w:sz w:val="24"/>
          <w:szCs w:val="24"/>
        </w:rPr>
        <w:t xml:space="preserve">{associe_civilite} {associe_nom_complet}</w:t>
      </w:r>
    </w:p>
    <w:p>
      <w:pPr>
        <w:spacing w:after="400"/>
      </w:pPr>
      <w:r>
        <w:rPr>
          <w:rFonts w:ascii="Times New Roman" w:cs="Times New Roman" w:eastAsia="Times New Roman" w:hAnsi="Times New Roman"/>
          <w:sz w:val="24"/>
          <w:szCs w:val="24"/>
        </w:rPr>
        <w:t xml:space="preserve"/>
      </w:r>
    </w:p>
    <w:p>
      <w:pPr>
        <w:spacing w:after="120"/>
        <w:jc w:val="center"/>
      </w:pPr>
      <w:r>
        <w:rPr>
          <w:rFonts w:ascii="Times New Roman" w:cs="Times New Roman" w:eastAsia="Times New Roman" w:hAnsi="Times New Roman"/>
          <w:b/>
          <w:bCs/>
          <w:i w:val="false"/>
          <w:iCs w:val="false"/>
          <w:sz w:val="24"/>
          <w:szCs w:val="24"/>
          <w:u w:val="single"/>
        </w:rPr>
        <w:t xml:space="preserve">Associé unique</w:t>
      </w:r>
    </w:p>
    <w:sectPr>
      <w:footerReference w:type="default" r:id="rId6"/>
      <w:pgSz w:w="11906" w:h="16838" w:orient="portrait"/>
      <w:pgMar w:top="1137" w:right="849" w:bottom="1137" w:left="849"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2026-02-25T07:33:32.918Z</dcterms:created>
  <dcterms:modified xsi:type="dcterms:W3CDTF">2026-02-25T07:33:32.919Z</dcterms:modified>
</cp:coreProperties>
</file>

<file path=docProps/custom.xml><?xml version="1.0" encoding="utf-8"?>
<Properties xmlns="http://schemas.openxmlformats.org/officeDocument/2006/custom-properties" xmlns:vt="http://schemas.openxmlformats.org/officeDocument/2006/docPropsVTypes"/>
</file>