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Hi, and welcome to CBR GovHack 2017.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We’re DIISCOVER, a group of colleagues from the Department of Industry, Innovation and Science (and our film wizard Andrew, whom we managed to rope in).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Most of us moved to Canberra, and we wondered how we could harness the power of data to give newcomers a better understanding of where they live.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 moved to a new suburb and wanted to find your local park or library? Maybe you’re thinking of moving and you’re trying to decide which area is right for you?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Whether it’s finding a public space to have a barbeque with your mates- or trying to make sure said barbeque isn’t overrun by bees, we have the solution for you!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ACT Liveability Profile Index lets you learn about where you are. Our profiles assess the benefits and hazards of suburbs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ACT, from local amenities to</w:t>
      </w:r>
      <w:r w:rsidDel="00000000" w:rsidR="00000000" w:rsidRPr="00000000">
        <w:rPr>
          <w:rtl w:val="0"/>
        </w:rPr>
        <w:t xml:space="preserve"> traffic offences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They</w:t>
      </w:r>
      <w:r w:rsidDel="00000000" w:rsidR="00000000" w:rsidRPr="00000000">
        <w:rPr>
          <w:rtl w:val="0"/>
        </w:rPr>
        <w:t xml:space="preserve">’re easy to use, to help you when you’re in a hurry. But they’re also complex- if you want them to be. You’re in the driver’s seat.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 team DIISCOVER, we integrated different datasets to generate </w:t>
      </w: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color w:val="000000"/>
          <w:rtl w:val="0"/>
        </w:rPr>
        <w:t xml:space="preserve">Index. We transformed publicly available data to help you make better decisions. We’ve collated data from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 Open Data, the ATO, the ABS and Corra, on liveability factors such as sporting facilities, public toilets, cycling accidents, traffic camera offences and fines, and speed camera locations. </w:t>
      </w:r>
      <w:r w:rsidDel="00000000" w:rsidR="00000000" w:rsidRPr="00000000">
        <w:rPr>
          <w:rtl w:val="0"/>
        </w:rPr>
        <w:t xml:space="preserve">Traffic accidents? No worries. Public toilets? We can help (no pun intended).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youth groups and community organisations looking to organise their next event, to individuals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families who’ve recently moved to Canberra,</w:t>
      </w:r>
      <w:r w:rsidDel="00000000" w:rsidR="00000000" w:rsidRPr="00000000">
        <w:rPr>
          <w:rtl w:val="0"/>
        </w:rPr>
        <w:t xml:space="preserve"> our Liveability Profile Index provides a single reference point where you can find what you need</w:t>
      </w:r>
      <w:r w:rsidDel="00000000" w:rsidR="00000000" w:rsidRPr="00000000">
        <w:rPr>
          <w:color w:val="000000"/>
          <w:rtl w:val="0"/>
        </w:rPr>
        <w:t xml:space="preserve">. With a simple click, Canberrans can easily see the profile of any suburb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the ACT.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