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5B1751C9" w:rsidR="002276E3" w:rsidRPr="00F507AA" w:rsidRDefault="00EB0FC2" w:rsidP="002276E3">
      <w:pPr>
        <w:suppressAutoHyphens/>
        <w:ind w:firstLine="0"/>
        <w:jc w:val="center"/>
        <w:rPr>
          <w:rFonts w:eastAsia="Times New Roman"/>
          <w:b/>
          <w:color w:val="FF0000"/>
          <w:szCs w:val="28"/>
          <w:lang w:eastAsia="ru-RU"/>
        </w:rPr>
      </w:pPr>
      <w:r w:rsidRPr="00F507AA">
        <w:rPr>
          <w:rFonts w:eastAsia="Times New Roman"/>
          <w:b/>
          <w:color w:val="FF0000"/>
          <w:szCs w:val="28"/>
          <w:lang w:eastAsia="ru-RU"/>
        </w:rPr>
        <w:t>ОЧЕНЬ ЕМКОЕ НАЗВАНИЕ</w:t>
      </w:r>
      <w:r w:rsidR="00E65C68">
        <w:rPr>
          <w:rFonts w:eastAsia="Times New Roman"/>
          <w:b/>
          <w:color w:val="FF0000"/>
          <w:szCs w:val="28"/>
          <w:lang w:eastAsia="ru-RU"/>
        </w:rPr>
        <w:t xml:space="preserve"> НИРа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___.___.20___г.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3B169006" w14:textId="400ABA76" w:rsidR="00D43248" w:rsidRDefault="006403F7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0798" w:history="1">
            <w:r w:rsidR="00D43248" w:rsidRPr="00F23B50">
              <w:rPr>
                <w:rStyle w:val="ad"/>
                <w:noProof/>
              </w:rPr>
              <w:t>Введение</w:t>
            </w:r>
            <w:r w:rsidR="00D43248">
              <w:rPr>
                <w:noProof/>
                <w:webHidden/>
              </w:rPr>
              <w:tab/>
            </w:r>
            <w:r w:rsidR="00D43248">
              <w:rPr>
                <w:noProof/>
                <w:webHidden/>
              </w:rPr>
              <w:fldChar w:fldCharType="begin"/>
            </w:r>
            <w:r w:rsidR="00D43248">
              <w:rPr>
                <w:noProof/>
                <w:webHidden/>
              </w:rPr>
              <w:instrText xml:space="preserve"> PAGEREF _Toc138080798 \h </w:instrText>
            </w:r>
            <w:r w:rsidR="00D43248">
              <w:rPr>
                <w:noProof/>
                <w:webHidden/>
              </w:rPr>
            </w:r>
            <w:r w:rsidR="00D43248">
              <w:rPr>
                <w:noProof/>
                <w:webHidden/>
              </w:rPr>
              <w:fldChar w:fldCharType="separate"/>
            </w:r>
            <w:r w:rsidR="00D43248">
              <w:rPr>
                <w:noProof/>
                <w:webHidden/>
              </w:rPr>
              <w:t>3</w:t>
            </w:r>
            <w:r w:rsidR="00D43248">
              <w:rPr>
                <w:noProof/>
                <w:webHidden/>
              </w:rPr>
              <w:fldChar w:fldCharType="end"/>
            </w:r>
          </w:hyperlink>
        </w:p>
        <w:p w14:paraId="6BA01ABB" w14:textId="0243DC01" w:rsidR="00D43248" w:rsidRDefault="00D43248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799" w:history="1">
            <w:r w:rsidRPr="00F23B50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23B50">
              <w:rPr>
                <w:rStyle w:val="ad"/>
                <w:noProof/>
              </w:rPr>
              <w:t>Схема генератора СКИ с двумя ВЧ полевыми транзисторами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6EFE" w14:textId="64BBDF0B" w:rsidR="00D43248" w:rsidRDefault="00D43248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0" w:history="1">
            <w:r w:rsidRPr="00F23B50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23B50">
              <w:rPr>
                <w:rStyle w:val="ad"/>
                <w:noProof/>
              </w:rPr>
              <w:t>Модель устройства и изучение запускающего каскада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F83E" w14:textId="0A239723" w:rsidR="00D43248" w:rsidRDefault="00D43248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1" w:history="1">
            <w:r w:rsidRPr="00F23B50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23B50">
              <w:rPr>
                <w:rStyle w:val="ad"/>
                <w:noProof/>
              </w:rPr>
              <w:t>Экспериментальное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20A4" w14:textId="7510AAE3" w:rsidR="00D43248" w:rsidRDefault="00D43248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2" w:history="1">
            <w:r w:rsidRPr="00F23B50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23B50">
              <w:rPr>
                <w:rStyle w:val="ad"/>
                <w:noProof/>
              </w:rPr>
              <w:t>Эксперимент с длительностями запускающих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FD50" w14:textId="39463013" w:rsidR="00D43248" w:rsidRDefault="00D43248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3" w:history="1">
            <w:r w:rsidRPr="00F23B50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23B50">
              <w:rPr>
                <w:rStyle w:val="ad"/>
                <w:noProof/>
              </w:rPr>
              <w:t>Оценка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8F5A" w14:textId="18D44634" w:rsidR="00D43248" w:rsidRDefault="00D43248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4" w:history="1">
            <w:r w:rsidRPr="00F23B5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2665" w14:textId="67F9FD05" w:rsidR="00D43248" w:rsidRDefault="00D43248" w:rsidP="00D4324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080805" w:history="1">
            <w:r w:rsidRPr="00F23B50">
              <w:rPr>
                <w:rStyle w:val="ad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3498" w14:textId="1F4BD21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8080798"/>
      <w:r w:rsidRPr="00A005DD">
        <w:lastRenderedPageBreak/>
        <w:t>Введение</w:t>
      </w:r>
      <w:bookmarkEnd w:id="0"/>
    </w:p>
    <w:p w14:paraId="71CA9897" w14:textId="75CF5E43" w:rsidR="00DF4430" w:rsidRDefault="00DF4430" w:rsidP="00DF4430">
      <w:r>
        <w:t>Квазигауссовские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F91DDF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F91DDF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F91DDF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F91DDF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F91DDF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432406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F91DDF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F91DDF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F91DDF">
        <w:t>10</w:t>
      </w:r>
      <w:r w:rsidR="00F91DDF">
        <w:fldChar w:fldCharType="end"/>
      </w:r>
      <w:r>
        <w:t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744C570F" w:rsidR="00DF4430" w:rsidRDefault="00DF4430" w:rsidP="00DF4430">
      <w:r>
        <w:t>Одним из вариантов проектирования генераторов сверхширокополосных квазигауссовских импульсов, позволяющих достичь оптимального отношения длительности импульса к его амплитуде, являются схемы, основанные на использовании токоразмыкающих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F91DDF">
        <w:t>6</w:t>
      </w:r>
      <w:r w:rsidR="00F91DDF">
        <w:fldChar w:fldCharType="end"/>
      </w:r>
      <w:r>
        <w:t>].</w:t>
      </w:r>
    </w:p>
    <w:p w14:paraId="419800FE" w14:textId="14EC4A1F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дуплет и моноцикл Гаусса. Это объясняется тем, что </w:t>
      </w:r>
      <w:r>
        <w:t>спектры этих импульсов сосредоточены на более высоких частотах, следовательно,</w:t>
      </w:r>
      <w:r>
        <w:t xml:space="preserve"> </w:t>
      </w:r>
      <w:r>
        <w:t xml:space="preserve">их </w:t>
      </w:r>
      <w:r>
        <w:t>проще излучать и обрабатывать</w:t>
      </w:r>
      <w:r>
        <w:t xml:space="preserve">, </w:t>
      </w:r>
      <w:r>
        <w:t xml:space="preserve">они позволяют организовать модуляцию для кодирования информации. </w:t>
      </w:r>
      <w:r>
        <w:t>Ф</w:t>
      </w:r>
      <w:r>
        <w:t>ормирование</w:t>
      </w:r>
      <w:r>
        <w:t xml:space="preserve"> таких импульсов</w:t>
      </w:r>
      <w:r>
        <w:t xml:space="preserve"> также представляет собой нетривиальную задачу. В частности</w:t>
      </w:r>
      <w:r>
        <w:t>,</w:t>
      </w:r>
      <w:r>
        <w:t xml:space="preserve"> эта задача решается с помощью применения конструкций сверхширокополосных сумматоров, таких как конструкции Уилкинсона</w:t>
      </w:r>
      <w:r>
        <w:t xml:space="preserve">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F91DDF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узкую 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F91DDF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19BFCF8F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«звон» 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«звона» 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1" w:name="_Toc138080799"/>
      <w:r>
        <w:lastRenderedPageBreak/>
        <w:t>Схема генератора СКИ с двумя ВЧ полевыми транзисторами</w:t>
      </w:r>
      <w:bookmarkEnd w:id="1"/>
    </w:p>
    <w:p w14:paraId="6A8347CC" w14:textId="748B68B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4E5D2A56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r w:rsidRPr="0051060C">
        <w:rPr>
          <w:color w:val="FF0000"/>
        </w:rPr>
        <w:t>поискать ссылки подтверждающие эти гениальные идеи ГК</w:t>
      </w:r>
      <w:r w:rsidRPr="0051060C">
        <w:t>]</w:t>
      </w:r>
      <w:r>
        <w:t>.</w:t>
      </w:r>
    </w:p>
    <w:p w14:paraId="672DF9C2" w14:textId="4AE969FD" w:rsidR="00D013AA" w:rsidRPr="00F141A1" w:rsidRDefault="00D013AA" w:rsidP="0051060C">
      <w:r>
        <w:t xml:space="preserve">Ещё одним негативным эффектом, связанным как с разницей во временах переключения диодов, так и с релаксационными процессами, является эффект «звона». Он заключается в искажении заднего фронта СКИ и появлении высокочастотных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49C9724" w:rsidR="00B955A8" w:rsidRPr="006253FB" w:rsidRDefault="006253FB" w:rsidP="00B955A8">
      <w:r>
        <w:lastRenderedPageBreak/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1856BB">
        <w:rPr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0CC1CF42" w:rsidR="00EB0FC2" w:rsidRPr="00CC49AF" w:rsidRDefault="00CC49AF" w:rsidP="00D27F7A">
      <w:pPr>
        <w:pStyle w:val="af"/>
      </w:pPr>
      <w:bookmarkStart w:id="2" w:name="_Toc138075197"/>
      <w:r w:rsidRPr="00CC49AF">
        <w:t xml:space="preserve">Рис. </w:t>
      </w:r>
      <w:fldSimple w:instr=" SEQ Рис. \* ARABIC ">
        <w:r w:rsidR="00D27F7A">
          <w:rPr>
            <w:noProof/>
          </w:rPr>
          <w:t>1</w:t>
        </w:r>
      </w:fldSimple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2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791A1A4C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>, на их фронтах могут появляться высокочастотные паразитные колебания</w:t>
      </w:r>
      <w:r w:rsidR="00837954">
        <w:t>, что приводит к увеличению длительностей импульсов и ухудшению формы их фронтов. Чтобы бороться с этим эффектом было предложено использовать транзисторы на кристаллах</w:t>
      </w:r>
      <w:r w:rsidR="00F141A1">
        <w:t xml:space="preserve">. Такие полупроводниковые элементы вносят значительно меньшие искажения в </w:t>
      </w:r>
      <w:r w:rsidR="00F141A1">
        <w:lastRenderedPageBreak/>
        <w:t xml:space="preserve">форму запускающего импульса и лучше работают с высокочастотными и широкополосными сигналами. 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>Еще одной целью при проектировании устройства было достижение меньших значений напряжений постоянного питания с целью повышения КПД</w:t>
      </w:r>
      <w:r w:rsidR="00D654E1">
        <w:rPr>
          <w:color w:val="auto"/>
        </w:rPr>
        <w:t xml:space="preserve"> устройства</w:t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3" w:name="_Toc138080800"/>
      <w:r w:rsidR="00837954">
        <w:t>Модель устройства</w:t>
      </w:r>
      <w:r w:rsidR="00215C64">
        <w:t xml:space="preserve"> и изучение запускающего каскада</w:t>
      </w:r>
      <w:bookmarkEnd w:id="3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2D5769D7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r w:rsidR="001856BB">
        <w:fldChar w:fldCharType="begin"/>
      </w:r>
      <w:r w:rsidR="001856BB">
        <w:instrText xml:space="preserve"> SEQ Рис. \* ARABIC </w:instrText>
      </w:r>
      <w:r w:rsidR="001856BB">
        <w:fldChar w:fldCharType="separate"/>
      </w:r>
      <w:r w:rsidR="001856BB">
        <w:rPr>
          <w:noProof/>
        </w:rPr>
        <w:t>2</w:t>
      </w:r>
      <w:r w:rsidR="001856BB">
        <w:fldChar w:fldCharType="end"/>
      </w:r>
      <w:r w:rsidR="001856BB">
        <w:t xml:space="preserve"> и </w:t>
      </w:r>
      <w:r w:rsidR="001856BB">
        <w:fldChar w:fldCharType="begin"/>
      </w:r>
      <w:r w:rsidR="001856BB">
        <w:instrText xml:space="preserve"> SEQ Рис. \* ARABIC </w:instrText>
      </w:r>
      <w:r w:rsidR="001856BB">
        <w:fldChar w:fldCharType="separate"/>
      </w:r>
      <w:r w:rsidR="001856BB">
        <w:rPr>
          <w:noProof/>
        </w:rPr>
        <w:t>3</w:t>
      </w:r>
      <w:r w:rsidR="001856BB">
        <w:fldChar w:fldCharType="end"/>
      </w:r>
      <w:r>
        <w:t xml:space="preserve">. </w:t>
      </w:r>
    </w:p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5C77DD48" w:rsidR="00837954" w:rsidRDefault="00CC49AF" w:rsidP="00CC49AF">
      <w:pPr>
        <w:pStyle w:val="a4"/>
      </w:pPr>
      <w:bookmarkStart w:id="4" w:name="_Toc138075198"/>
      <w:r>
        <w:t xml:space="preserve">Рис. </w:t>
      </w:r>
      <w:fldSimple w:instr=" SEQ Рис. \* ARABIC ">
        <w:r w:rsidR="00D27F7A">
          <w:rPr>
            <w:noProof/>
          </w:rPr>
          <w:t>2</w:t>
        </w:r>
      </w:fldSimple>
      <w:r>
        <w:t xml:space="preserve">. </w:t>
      </w:r>
      <w:r>
        <w:t>Модель генератора СКИ в пакете автоматизированного проектирования.</w:t>
      </w:r>
      <w:bookmarkEnd w:id="4"/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34DA3268" w:rsidR="00051ACA" w:rsidRDefault="00CC49AF" w:rsidP="00CC49AF">
      <w:pPr>
        <w:ind w:firstLine="0"/>
        <w:jc w:val="center"/>
      </w:pPr>
      <w:bookmarkStart w:id="5" w:name="_Toc138075199"/>
      <w:r>
        <w:t xml:space="preserve">Рис. </w:t>
      </w:r>
      <w:fldSimple w:instr=" SEQ Рис. \* ARABIC ">
        <w:r w:rsidR="00D27F7A">
          <w:rPr>
            <w:noProof/>
          </w:rPr>
          <w:t>3</w:t>
        </w:r>
      </w:fldSimple>
      <w:r>
        <w:t>. Модель для изучения запускающих импульсов</w:t>
      </w:r>
      <w:bookmarkEnd w:id="5"/>
    </w:p>
    <w:p w14:paraId="77DD0A93" w14:textId="2C21637D" w:rsidR="0000453A" w:rsidRDefault="0000453A" w:rsidP="0000453A">
      <w:r>
        <w:t xml:space="preserve">На графике изображены импульсы с пробников на схеме, представленной на рис. </w:t>
      </w:r>
      <w:r w:rsidR="001856BB" w:rsidRPr="001856BB">
        <w:fldChar w:fldCharType="begin"/>
      </w:r>
      <w:r w:rsidR="001856BB" w:rsidRPr="001856BB">
        <w:instrText xml:space="preserve"> SEQ Рис. \* ARABIC </w:instrText>
      </w:r>
      <w:r w:rsidR="001856BB" w:rsidRPr="001856BB">
        <w:fldChar w:fldCharType="separate"/>
      </w:r>
      <w:r w:rsidR="001856BB" w:rsidRPr="001856BB">
        <w:rPr>
          <w:noProof/>
        </w:rPr>
        <w:t>4</w:t>
      </w:r>
      <w:r w:rsidR="001856BB" w:rsidRPr="001856BB">
        <w:fldChar w:fldCharType="end"/>
      </w:r>
      <w:r w:rsidRPr="001856BB">
        <w:t>.</w:t>
      </w:r>
      <w:r>
        <w:t xml:space="preserve">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8916D6" w14:textId="5053A520" w:rsidR="00051ACA" w:rsidRPr="001856BB" w:rsidRDefault="00CC49AF" w:rsidP="00D27F7A">
      <w:pPr>
        <w:pStyle w:val="12"/>
        <w:rPr>
          <w:i w:val="0"/>
          <w:iCs w:val="0"/>
        </w:rPr>
      </w:pPr>
      <w:bookmarkStart w:id="6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D27F7A" w:rsidRPr="001856BB">
        <w:rPr>
          <w:i w:val="0"/>
          <w:iCs w:val="0"/>
          <w:noProof/>
        </w:rPr>
        <w:t>4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6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7" w:name="_Toc138080801"/>
      <w:r>
        <w:lastRenderedPageBreak/>
        <w:t>Эксперимент</w:t>
      </w:r>
      <w:r w:rsidR="00EB455A">
        <w:t>альное исследование</w:t>
      </w:r>
      <w:bookmarkEnd w:id="7"/>
    </w:p>
    <w:p w14:paraId="35ABE568" w14:textId="5267CE7D" w:rsidR="00A61E1D" w:rsidRDefault="00A61E1D" w:rsidP="006F20E5">
      <w:pPr>
        <w:rPr>
          <w:color w:val="auto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Pr="00A61E1D">
        <w:rPr>
          <w:color w:val="FF0000"/>
        </w:rPr>
        <w:t>(УТОЧНИТЬ ПАРАМЕТРЫ)</w:t>
      </w:r>
      <w:r>
        <w:rPr>
          <w:color w:val="FF0000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r>
        <w:rPr>
          <w:color w:val="auto"/>
          <w:lang w:val="en-US"/>
        </w:rPr>
        <w:t>Ampleon</w:t>
      </w:r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D013AA">
        <w:rPr>
          <w:color w:val="auto"/>
        </w:rPr>
        <w:t>14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токоразмыкающих элементов использовались </w:t>
      </w:r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r w:rsidR="00D013AA">
        <w:rPr>
          <w:color w:val="auto"/>
          <w:lang w:val="en-US"/>
        </w:rPr>
        <w:t>Macom</w:t>
      </w:r>
      <w:r w:rsidR="00D013AA" w:rsidRPr="00D013AA">
        <w:rPr>
          <w:color w:val="auto"/>
        </w:rPr>
        <w:t xml:space="preserve"> 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D013AA">
        <w:rPr>
          <w:color w:val="auto"/>
        </w:rPr>
        <w:t>13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 xml:space="preserve">Для защиты от внешних механических повреждений и пыли, устройство помещено в корпус. </w:t>
      </w:r>
      <w:r w:rsidR="006679C8">
        <w:rPr>
          <w:color w:val="auto"/>
        </w:rPr>
        <w:t xml:space="preserve">Экспериментальный макет приведен на рис. </w:t>
      </w:r>
      <w:r w:rsidR="001856BB">
        <w:fldChar w:fldCharType="begin"/>
      </w:r>
      <w:r w:rsidR="001856BB">
        <w:instrText xml:space="preserve"> SEQ Рис. \* ARABIC </w:instrText>
      </w:r>
      <w:r w:rsidR="001856BB">
        <w:fldChar w:fldCharType="separate"/>
      </w:r>
      <w:r w:rsidR="001856BB">
        <w:rPr>
          <w:noProof/>
        </w:rPr>
        <w:t>5</w:t>
      </w:r>
      <w:r w:rsidR="001856BB">
        <w:fldChar w:fldCharType="end"/>
      </w:r>
      <w:r w:rsidR="006679C8">
        <w:rPr>
          <w:color w:val="auto"/>
        </w:rPr>
        <w:t xml:space="preserve">. </w:t>
      </w:r>
    </w:p>
    <w:p w14:paraId="6E89F835" w14:textId="52E1CCD7" w:rsidR="002B06FF" w:rsidRPr="006679C8" w:rsidRDefault="002B06FF" w:rsidP="006F20E5">
      <w:pPr>
        <w:rPr>
          <w:color w:val="auto"/>
        </w:rPr>
      </w:pPr>
      <w:r>
        <w:rPr>
          <w:color w:val="auto"/>
        </w:rPr>
        <w:t xml:space="preserve">Целью эксперимента было получение двух СКИ: импульс с максимально возможной амплитудой и с минимальным уровнем звона, т.е. наименее отклоняющийся по форме от идеального гауссовского импульса. </w:t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670E92E9" w:rsidR="00A005DD" w:rsidRDefault="00D27F7A" w:rsidP="00D27F7A">
      <w:pPr>
        <w:pStyle w:val="af"/>
      </w:pPr>
      <w:bookmarkStart w:id="8" w:name="_Toc138075201"/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>. Прототип разработанного устройства</w:t>
      </w:r>
      <w:bookmarkEnd w:id="8"/>
    </w:p>
    <w:p w14:paraId="2FE6D6FE" w14:textId="6CB51D79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r w:rsidR="00306732">
        <w:t xml:space="preserve">натурный </w:t>
      </w:r>
      <w:r>
        <w:t xml:space="preserve">эксперимент. 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для постоянного питания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</w:t>
      </w:r>
      <w:r w:rsidR="000661AB">
        <w:lastRenderedPageBreak/>
        <w:t xml:space="preserve">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7EBEA3DB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r w:rsidR="001856BB">
        <w:fldChar w:fldCharType="begin"/>
      </w:r>
      <w:r w:rsidR="001856BB">
        <w:instrText xml:space="preserve"> SEQ Рис. \* ARABIC </w:instrText>
      </w:r>
      <w:r w:rsidR="001856BB">
        <w:fldChar w:fldCharType="separate"/>
      </w:r>
      <w:r w:rsidR="001856BB">
        <w:rPr>
          <w:noProof/>
        </w:rPr>
        <w:t>6</w:t>
      </w:r>
      <w:r w:rsidR="001856BB">
        <w:fldChar w:fldCharType="end"/>
      </w:r>
      <w:r w:rsidR="001856BB">
        <w:t xml:space="preserve"> и </w:t>
      </w:r>
      <w:r w:rsidR="001856BB">
        <w:fldChar w:fldCharType="begin"/>
      </w:r>
      <w:r w:rsidR="001856BB">
        <w:instrText xml:space="preserve"> SEQ Рис. \* ARABIC </w:instrText>
      </w:r>
      <w:r w:rsidR="001856BB">
        <w:fldChar w:fldCharType="separate"/>
      </w:r>
      <w:r w:rsidR="001856BB">
        <w:rPr>
          <w:noProof/>
        </w:rPr>
        <w:t>7</w:t>
      </w:r>
      <w:r w:rsidR="001856BB">
        <w:fldChar w:fldCharType="end"/>
      </w:r>
      <w:r>
        <w:rPr>
          <w:color w:val="auto"/>
        </w:rPr>
        <w:t>. 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>от 200 пс до 320 пс</w:t>
      </w:r>
      <w:r>
        <w:rPr>
          <w:color w:val="auto"/>
        </w:rPr>
        <w:t xml:space="preserve">. Уровень звона </w:t>
      </w:r>
      <w:r w:rsidR="000661AB">
        <w:rPr>
          <w:color w:val="auto"/>
        </w:rPr>
        <w:t>составляет порядка 6-7%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drawing>
          <wp:inline distT="0" distB="0" distL="0" distR="0" wp14:anchorId="37BA7EC7" wp14:editId="0521EBD0">
            <wp:extent cx="4823460" cy="380887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11" cy="3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4C76DD8D" w:rsidR="00516E25" w:rsidRPr="00D27F7A" w:rsidRDefault="00D27F7A" w:rsidP="00D27F7A">
      <w:pPr>
        <w:pStyle w:val="af"/>
      </w:pPr>
      <w:bookmarkStart w:id="9" w:name="_Toc138075202"/>
      <w:bookmarkStart w:id="10" w:name="_Ref138078280"/>
      <w:r>
        <w:t xml:space="preserve">Рис. </w:t>
      </w:r>
      <w:fldSimple w:instr=" SEQ Рис. \* ARABIC ">
        <w:r>
          <w:rPr>
            <w:noProof/>
          </w:rPr>
          <w:t>6</w:t>
        </w:r>
      </w:fldSimple>
      <w:bookmarkEnd w:id="10"/>
      <w:r>
        <w:t>. Осциллограмма импульса с низким уровнем звона на выходе прототипа.</w:t>
      </w:r>
      <w:bookmarkEnd w:id="9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358FF6B2" wp14:editId="6EF7DA3C">
            <wp:extent cx="5172075" cy="3568331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44" cy="35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1504712B" w:rsidR="00051ACA" w:rsidRDefault="00D27F7A" w:rsidP="00D27F7A">
      <w:pPr>
        <w:pStyle w:val="af"/>
      </w:pPr>
      <w:bookmarkStart w:id="11" w:name="_Toc138075203"/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t>. Осциллограмма импульса с максимальной амплитудой.</w:t>
      </w:r>
      <w:bookmarkEnd w:id="11"/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>длительность: 210 пс;</w:t>
      </w:r>
    </w:p>
    <w:p w14:paraId="579B9976" w14:textId="6B656CFF" w:rsidR="00CD79D8" w:rsidRDefault="00CD79D8" w:rsidP="00CD79D8">
      <w:pPr>
        <w:pStyle w:val="a"/>
        <w:numPr>
          <w:ilvl w:val="0"/>
          <w:numId w:val="6"/>
        </w:numPr>
      </w:pPr>
      <w:r>
        <w:t xml:space="preserve">уровень звона в процентах </w:t>
      </w:r>
      <w:r w:rsidRPr="00CD79D8">
        <w:t>~</w:t>
      </w:r>
      <w:r>
        <w:t xml:space="preserve"> 6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t>длительность: 320 пс;</w:t>
      </w:r>
    </w:p>
    <w:p w14:paraId="4E224C86" w14:textId="6C4C3008" w:rsidR="00CD79D8" w:rsidRPr="00CD79D8" w:rsidRDefault="00CD79D8" w:rsidP="00CD79D8">
      <w:pPr>
        <w:pStyle w:val="a"/>
        <w:numPr>
          <w:ilvl w:val="0"/>
          <w:numId w:val="7"/>
        </w:numPr>
      </w:pPr>
      <w:r>
        <w:t xml:space="preserve">уровень звона в процентах </w:t>
      </w:r>
      <w:r w:rsidRPr="00CD79D8">
        <w:t>~</w:t>
      </w:r>
      <w:r>
        <w:t xml:space="preserve"> 10.</w:t>
      </w:r>
    </w:p>
    <w:p w14:paraId="41DB970C" w14:textId="41B9A30B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, постоянное напряжение питания составляло 3В и –2В. Эти значения значительно меньше, чем использованные в предыдущих аналогах. Следовательно, КПД данного прототипа лучше, чем у ранее используемых устройств.</w:t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12" w:name="_Toc138080802"/>
      <w:r>
        <w:lastRenderedPageBreak/>
        <w:t>Эксперимент с длительностями</w:t>
      </w:r>
      <w:r w:rsidR="00EB455A">
        <w:t xml:space="preserve"> запускающих импульсов</w:t>
      </w:r>
      <w:bookmarkEnd w:id="12"/>
    </w:p>
    <w:p w14:paraId="7C8C7795" w14:textId="52CC9A1E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Импульсы запуска, отвечающие за накачку и рассасывание заряда в структуре ДНЗ</w:t>
      </w:r>
      <w:r w:rsidR="0040669F">
        <w:t xml:space="preserve"> сначала были установлены 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равное время смещался импульс рассасывания. В ходе эксперимента ожидалось, что увеличение времени накачки диода при правило подобранном времени начала импульса рассасывания приведут к увеличению амплитуды импульсов. </w:t>
      </w:r>
    </w:p>
    <w:p w14:paraId="7F93F355" w14:textId="33EF646D" w:rsidR="007B4C2D" w:rsidRDefault="0040669F" w:rsidP="00347FE4">
      <w:r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>фронты запускающих импульсов: 3 нс;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6A234459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 соответственно.</w:t>
      </w:r>
    </w:p>
    <w:p w14:paraId="34F9CCE7" w14:textId="1DCA49E2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выставили задержку основного импульса на </w:t>
      </w:r>
      <w:r w:rsidR="00F141A1">
        <w:t>управляющем</w:t>
      </w:r>
      <w:r w:rsidRPr="001520BA">
        <w:t xml:space="preserve"> генераторе на 17.25 нс.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D7FC6">
        <w:t xml:space="preserve">таблице </w:t>
      </w:r>
      <w:r w:rsidR="002D7FC6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43C655D" w:rsidR="00D27F7A" w:rsidRDefault="00D27F7A" w:rsidP="00D27F7A">
      <w:pPr>
        <w:pStyle w:val="af"/>
        <w:keepNext/>
        <w:jc w:val="right"/>
      </w:pPr>
      <w:bookmarkStart w:id="13" w:name="_Ref138078701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3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Запускающий импульс, нс</w:t>
            </w:r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. нс</w:t>
            </w:r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Ампл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пс</w:t>
            </w:r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5A51202B" wp14:editId="7FF854E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3E37E6D" w14:textId="32E8768B" w:rsidR="004F2B05" w:rsidRPr="00D27F7A" w:rsidRDefault="00D27F7A" w:rsidP="00D27F7A">
      <w:pPr>
        <w:pStyle w:val="af"/>
      </w:pPr>
      <w:bookmarkStart w:id="14" w:name="_Toc138075204"/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t>. График зависимости амплитуды СКИ от длительности запускающего импульса</w:t>
      </w:r>
      <w:bookmarkEnd w:id="14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13A8287A" wp14:editId="2FA63AD5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3262E02" w14:textId="2FE6B151" w:rsidR="004F2B05" w:rsidRDefault="00D27F7A" w:rsidP="00D27F7A">
      <w:pPr>
        <w:pStyle w:val="af"/>
      </w:pPr>
      <w:bookmarkStart w:id="15" w:name="_Toc138075205"/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>. График зависимости длительности СКИ от длительности запускающего импульса</w:t>
      </w:r>
      <w:bookmarkEnd w:id="15"/>
    </w:p>
    <w:p w14:paraId="4C665733" w14:textId="3A86F679" w:rsidR="006E0C3D" w:rsidRDefault="006E0C3D" w:rsidP="006E0C3D">
      <w:r>
        <w:t xml:space="preserve">Проанализируем полученные результаты. </w:t>
      </w:r>
      <w:r w:rsidR="00E6456D">
        <w:t>Сначала амплитуда выходного импульса увеличивается, а затем достигает максимального 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77777777" w:rsidR="0040669F" w:rsidRDefault="00E6456D" w:rsidP="006E0C3D">
      <w:r>
        <w:t>Изменения длительности выходного импульса имеет несколько более сложный характер, но, в целом, подчиняется аналогичным зависимостям.</w:t>
      </w:r>
    </w:p>
    <w:p w14:paraId="46169DCD" w14:textId="4A36B976" w:rsidR="00E6456D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r w:rsidR="009F6DCF">
        <w:t xml:space="preserve">Однако такой подход позволит сделать систему связи или локации, в которой могут быть использованы разработанные генераторы, динамической: за счет увеличения амплитуды можно увеличить дальность действия системы, но потерять ширину спектра и обратное. </w:t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16" w:name="_Toc138080803"/>
      <w:r>
        <w:lastRenderedPageBreak/>
        <w:t>Оценка импульсов</w:t>
      </w:r>
      <w:bookmarkEnd w:id="16"/>
    </w:p>
    <w:p w14:paraId="700524E0" w14:textId="11DD3DD1" w:rsidR="00FB1E77" w:rsidRPr="00F513C3" w:rsidRDefault="00FB1E77" w:rsidP="006F1C99">
      <w:r>
        <w:t>К разработанному ранее программно-аппаратному комплексу для автоматизированной оценки амплитуд и длительностей импульсов</w:t>
      </w:r>
      <w:r w:rsidR="00F513C3">
        <w:t xml:space="preserve"> была добавлена автоматизированная оценка соответствия формы результирующих импульсов гауссовым и оценка уровня «звона». В дальнешейм планируется также расширить возможность комплекса и настроить для них 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28BEC0A9" w:rsidR="006F1C99" w:rsidRDefault="006F1C99" w:rsidP="006F1C99">
      <w:r>
        <w:t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normalized mean square error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6CC9CA08" w14:textId="77777777" w:rsidR="00603216" w:rsidRDefault="00603216" w:rsidP="006F1C99"/>
    <w:p w14:paraId="41348785" w14:textId="0D3AD5EB" w:rsidR="006F1C99" w:rsidRDefault="00E65C68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инженерным</w:t>
      </w:r>
      <w:r>
        <w:t xml:space="preserve"> формулам:</w:t>
      </w:r>
    </w:p>
    <w:p w14:paraId="73F085AC" w14:textId="77777777" w:rsidR="00603216" w:rsidRDefault="00603216" w:rsidP="006F1C99"/>
    <w:p w14:paraId="74BEEB4B" w14:textId="570B46C2" w:rsidR="006F1C99" w:rsidRPr="006F1C99" w:rsidRDefault="00E65C68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F179228" w14:textId="3B3E147C" w:rsidR="006F1C99" w:rsidRPr="00603216" w:rsidRDefault="00E65C68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r>
        <w:lastRenderedPageBreak/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 Затем вычисляются отклонения и численный коэффициент NMSE в децибелах.</w:t>
      </w:r>
    </w:p>
    <w:p w14:paraId="4AE94652" w14:textId="16CE8517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NumPy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15</w:t>
      </w:r>
      <w:r w:rsidR="00FB1E77" w:rsidRPr="00FB1E77">
        <w:fldChar w:fldCharType="end"/>
      </w:r>
      <w:r w:rsidRPr="00FB1E77">
        <w:t>]</w:t>
      </w:r>
      <w:r w:rsidRPr="00603216">
        <w:t xml:space="preserve"> и Matplotlib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16</w:t>
      </w:r>
      <w:r w:rsidR="00FB1E77" w:rsidRPr="00FB1E77">
        <w:fldChar w:fldCharType="end"/>
      </w:r>
      <w:r w:rsidRPr="00FB1E77">
        <w:t>].</w:t>
      </w:r>
    </w:p>
    <w:p w14:paraId="3D6FC55E" w14:textId="32A68255" w:rsidR="00C52268" w:rsidRDefault="00C52268" w:rsidP="00564773">
      <w:r w:rsidRPr="00C52268">
        <w:t>Полученные</w:t>
      </w:r>
      <w:r>
        <w:t xml:space="preserve"> в результате эксперимента 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r w:rsidR="001856BB">
        <w:fldChar w:fldCharType="begin"/>
      </w:r>
      <w:r w:rsidR="001856BB">
        <w:instrText xml:space="preserve"> SEQ Рис. \* ARABIC </w:instrText>
      </w:r>
      <w:r w:rsidR="001856BB">
        <w:fldChar w:fldCharType="separate"/>
      </w:r>
      <w:r w:rsidR="001856BB">
        <w:rPr>
          <w:noProof/>
        </w:rPr>
        <w:t>10</w:t>
      </w:r>
      <w:r w:rsidR="001856BB">
        <w:fldChar w:fldCharType="end"/>
      </w:r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5C3C98B">
            <wp:extent cx="5303531" cy="41330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6C27E37B" w:rsidR="00516E25" w:rsidRDefault="00D27F7A" w:rsidP="00D27F7A">
      <w:pPr>
        <w:pStyle w:val="af"/>
      </w:pPr>
      <w:bookmarkStart w:id="17" w:name="_Toc138075206"/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>. «Идеальный» и реальный импульсы, построенные с помощью разработанного ПО</w:t>
      </w:r>
      <w:bookmarkEnd w:id="17"/>
    </w:p>
    <w:p w14:paraId="5C255717" w14:textId="516ADC87" w:rsidR="00260AD2" w:rsidRDefault="00260AD2" w:rsidP="00564773">
      <w:pPr>
        <w:rPr>
          <w:color w:val="FF0000"/>
        </w:rPr>
      </w:pPr>
      <w:r w:rsidRPr="00260AD2">
        <w:rPr>
          <w:color w:val="FF0000"/>
        </w:rPr>
        <w:t>Уровень отклонения от идеальных значений составил</w:t>
      </w:r>
      <w:r w:rsidR="00CA5620">
        <w:rPr>
          <w:color w:val="FF0000"/>
        </w:rPr>
        <w:t xml:space="preserve"> порядка </w:t>
      </w:r>
      <w:r w:rsidRPr="00260AD2">
        <w:rPr>
          <w:color w:val="FF0000"/>
        </w:rPr>
        <w:t>.</w:t>
      </w:r>
    </w:p>
    <w:p w14:paraId="0B9B1424" w14:textId="60DB2CCF" w:rsidR="002B06FF" w:rsidRDefault="002B06FF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pulse_shape_2 </w:t>
      </w:r>
      <w:r w:rsidR="00F84FEA">
        <w:rPr>
          <w:color w:val="FF0000"/>
        </w:rPr>
        <w:t>–</w:t>
      </w:r>
      <w:r>
        <w:rPr>
          <w:color w:val="FF0000"/>
          <w:lang w:val="en-US"/>
        </w:rPr>
        <w:t xml:space="preserve"> </w:t>
      </w:r>
      <w:r w:rsidR="00F84FEA">
        <w:rPr>
          <w:color w:val="FF0000"/>
        </w:rPr>
        <w:t>-</w:t>
      </w:r>
      <w:r>
        <w:rPr>
          <w:color w:val="FF0000"/>
          <w:lang w:val="en-US"/>
        </w:rPr>
        <w:t xml:space="preserve">10.87 </w:t>
      </w:r>
      <w:r>
        <w:rPr>
          <w:color w:val="FF0000"/>
        </w:rPr>
        <w:t>дБ</w:t>
      </w:r>
      <w:r w:rsidR="00F84FEA">
        <w:rPr>
          <w:color w:val="FF0000"/>
        </w:rPr>
        <w:t>;</w:t>
      </w:r>
    </w:p>
    <w:p w14:paraId="2DFDC9D1" w14:textId="780EB435" w:rsidR="002B06FF" w:rsidRDefault="00516E25" w:rsidP="002B06FF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pulse_shape_3 – </w:t>
      </w:r>
      <w:r w:rsidR="00F84FEA">
        <w:rPr>
          <w:color w:val="FF0000"/>
        </w:rPr>
        <w:t>-</w:t>
      </w:r>
      <w:r>
        <w:rPr>
          <w:color w:val="FF0000"/>
          <w:lang w:val="en-US"/>
        </w:rPr>
        <w:t xml:space="preserve">10.54 </w:t>
      </w:r>
      <w:r>
        <w:rPr>
          <w:color w:val="FF0000"/>
        </w:rPr>
        <w:t>дБ</w:t>
      </w:r>
      <w:r w:rsidR="00F84FEA">
        <w:rPr>
          <w:color w:val="FF0000"/>
        </w:rPr>
        <w:t>.</w:t>
      </w:r>
    </w:p>
    <w:p w14:paraId="034BE7A5" w14:textId="4B5D1E36" w:rsidR="00FB1E77" w:rsidRPr="00FB1E77" w:rsidRDefault="00FB1E77" w:rsidP="00FB1E77">
      <w:pPr>
        <w:pStyle w:val="a"/>
        <w:numPr>
          <w:ilvl w:val="0"/>
          <w:numId w:val="5"/>
        </w:numPr>
        <w:rPr>
          <w:color w:val="FF0000"/>
        </w:rPr>
      </w:pPr>
      <w:r>
        <w:rPr>
          <w:color w:val="FF0000"/>
          <w:lang w:val="en-US"/>
        </w:rPr>
        <w:t xml:space="preserve">zero_ringing - -15 </w:t>
      </w:r>
      <w:r>
        <w:rPr>
          <w:color w:val="FF0000"/>
        </w:rPr>
        <w:t>дБ</w:t>
      </w:r>
    </w:p>
    <w:p w14:paraId="4E6D4E49" w14:textId="4A15665E" w:rsidR="00516E25" w:rsidRDefault="009667FA" w:rsidP="00516E25">
      <w:pPr>
        <w:rPr>
          <w:color w:val="FF0000"/>
        </w:rPr>
      </w:pPr>
      <w:r>
        <w:rPr>
          <w:color w:val="FF0000"/>
        </w:rPr>
        <w:lastRenderedPageBreak/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</w:p>
    <w:p w14:paraId="3204FEDA" w14:textId="67314513" w:rsidR="00F61D64" w:rsidRPr="00F61D64" w:rsidRDefault="00F61D64" w:rsidP="00516E25">
      <w:pPr>
        <w:rPr>
          <w:color w:val="FF0000"/>
        </w:rPr>
      </w:pPr>
      <w:r>
        <w:rPr>
          <w:color w:val="FF0000"/>
        </w:rPr>
        <w:t xml:space="preserve">Из литературы (???) считается, что формы импульсов совпадают, если значение коэффициента </w:t>
      </w:r>
      <w:r>
        <w:rPr>
          <w:color w:val="FF0000"/>
          <w:lang w:val="en-US"/>
        </w:rPr>
        <w:t>NMSE</w:t>
      </w:r>
      <w:r w:rsidRPr="00F61D64">
        <w:rPr>
          <w:color w:val="FF0000"/>
        </w:rPr>
        <w:t xml:space="preserve"> </w:t>
      </w:r>
      <w:r>
        <w:rPr>
          <w:color w:val="FF0000"/>
        </w:rPr>
        <w:t xml:space="preserve">не превышает </w:t>
      </w:r>
      <w:r w:rsidR="005622EE">
        <w:rPr>
          <w:color w:val="FF0000"/>
        </w:rPr>
        <w:t>-</w:t>
      </w:r>
      <w:r>
        <w:rPr>
          <w:color w:val="FF0000"/>
        </w:rPr>
        <w:t xml:space="preserve">10 дБ. Соответственно импульсы, полученные в ходе эксперимента достаточно близки к идеальным гауссовым по форме во временной области. </w:t>
      </w:r>
    </w:p>
    <w:p w14:paraId="222F7D21" w14:textId="7B5D8BBE" w:rsidR="00886CBD" w:rsidRDefault="00886CBD" w:rsidP="00D27F7A">
      <w:pPr>
        <w:pStyle w:val="a4"/>
        <w:rPr>
          <w:color w:val="FF0000"/>
        </w:rPr>
      </w:pPr>
      <w:r w:rsidRPr="00D27F7A">
        <w:drawing>
          <wp:inline distT="0" distB="0" distL="0" distR="0" wp14:anchorId="6C6A69BE" wp14:editId="3391171B">
            <wp:extent cx="3954780" cy="3229014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31" cy="32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014B" w14:textId="2B65E977" w:rsidR="00886CBD" w:rsidRDefault="00886CBD" w:rsidP="00D27F7A">
      <w:pPr>
        <w:pStyle w:val="a4"/>
        <w:rPr>
          <w:color w:val="FF0000"/>
        </w:rPr>
      </w:pPr>
      <w:r w:rsidRPr="00D27F7A">
        <w:drawing>
          <wp:inline distT="0" distB="0" distL="0" distR="0" wp14:anchorId="50331146" wp14:editId="460E5F52">
            <wp:extent cx="3779520" cy="30859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63" cy="30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F9E6" w14:textId="01F74A65" w:rsidR="00886CBD" w:rsidRPr="00886CBD" w:rsidRDefault="00886CBD" w:rsidP="00886CBD">
      <w:pPr>
        <w:pStyle w:val="a4"/>
        <w:rPr>
          <w:color w:val="auto"/>
        </w:rPr>
      </w:pPr>
      <w:r>
        <w:rPr>
          <w:color w:val="auto"/>
        </w:rPr>
        <w:t xml:space="preserve">Рис. ???. </w:t>
      </w:r>
      <w:r w:rsidRPr="00886CBD">
        <w:rPr>
          <w:b/>
          <w:bCs/>
          <w:i/>
          <w:iCs/>
          <w:color w:val="auto"/>
        </w:rPr>
        <w:t>Для объема</w:t>
      </w:r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bookmarkStart w:id="18" w:name="_Toc138080804"/>
      <w:r w:rsidRPr="00564773">
        <w:lastRenderedPageBreak/>
        <w:t>Заключение</w:t>
      </w:r>
      <w:bookmarkEnd w:id="18"/>
    </w:p>
    <w:p w14:paraId="2D06BE9C" w14:textId="27DAE6F3" w:rsidR="00F513C3" w:rsidRDefault="00F513C3" w:rsidP="00564773">
      <w:r>
        <w:t xml:space="preserve">В ходе выполнения научно-исследовательской работы был разработана и испытана на практике принципиально новая модель генератора СКИ квазигауссовой формы. </w:t>
      </w:r>
      <w:r w:rsidR="00B06D6B">
        <w:t xml:space="preserve">Было проведено моделирование в пакете автоматизированного проектирования с целью исследования формы запускающих импульсов на выходах транзисторов. </w:t>
      </w:r>
      <w:r>
        <w:t>Было показано, что с помощью</w:t>
      </w:r>
      <w:r w:rsidR="00B06D6B">
        <w:t xml:space="preserve"> разработанной модели</w:t>
      </w:r>
      <w:r>
        <w:t xml:space="preserve"> можно значительно снизить уровень «звона» на выходе устройства, исследовать зависимости вида импульса во временной области за счет управления накоплением и рассасыванием заряда в структуре ДНЗ и получить возможность управления формой импульса. Разработанный прототип также показал более высокий КПД, относительно предыдущих аналогов. </w:t>
      </w:r>
    </w:p>
    <w:p w14:paraId="74EA264D" w14:textId="52B87538" w:rsidR="0009158A" w:rsidRPr="0009158A" w:rsidRDefault="0009158A" w:rsidP="00564773">
      <w:r>
        <w:t xml:space="preserve">Были расширены возможности разработанного ранее программно-аппаратного комплекса, была проведена автоматизированная оценка соответствия форм импульсов гауссовым с помощью метода </w:t>
      </w:r>
      <w:r>
        <w:rPr>
          <w:lang w:val="en-US"/>
        </w:rPr>
        <w:t>NMSE</w:t>
      </w:r>
      <w:r>
        <w:t xml:space="preserve"> и оценка уровня звона. </w:t>
      </w:r>
      <w:r w:rsidR="00835CB8">
        <w:t xml:space="preserve">СКИ на выходе нового прототипа показали гораздо меньшие отклонения от «идеальных» импульсов: порядка – 15 дБ и уровень звона порядка 6-7%. </w:t>
      </w:r>
      <w:r w:rsidR="00A427B8">
        <w:t xml:space="preserve">Эти характеристики значительно лучше, чем полученные в ходе предыдущих исследований. </w:t>
      </w:r>
      <w:r w:rsidR="00835CB8">
        <w:t xml:space="preserve">Следовательно, такие импульсы сохраняют преимущества спектров гауссовых импульсов и являются более простыми для обнаружения, приема и обработки. </w:t>
      </w:r>
    </w:p>
    <w:p w14:paraId="0E35B289" w14:textId="23E1F5F4" w:rsidR="004935AF" w:rsidRPr="00A005DD" w:rsidRDefault="004935AF" w:rsidP="00564773">
      <w:r>
        <w:t xml:space="preserve">В дальнейшем планируется </w:t>
      </w:r>
      <w:r w:rsidR="00BC16B2">
        <w:t>провести натурный эксперимент по суммированию импульсов с помощью ранее разработанного сумматора констуркции Уилкинсона</w:t>
      </w:r>
      <w:r w:rsidR="00012288">
        <w:t xml:space="preserve"> и оценить уровень «звона» и соответствия гауссовым импульсам. Планируется расширение возможностей программно-аппаратного комплекса и доработка пользовательского интерфейса. </w:t>
      </w:r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bookmarkStart w:id="19" w:name="_Toc138080805"/>
      <w:r>
        <w:lastRenderedPageBreak/>
        <w:t>Литература</w:t>
      </w:r>
      <w:bookmarkEnd w:id="19"/>
    </w:p>
    <w:p w14:paraId="5B1B9222" w14:textId="77777777" w:rsidR="00DF4430" w:rsidRPr="00DF4430" w:rsidRDefault="00DF4430" w:rsidP="00DF4430">
      <w:pPr>
        <w:pStyle w:val="a"/>
      </w:pPr>
      <w:bookmarkStart w:id="20" w:name="_Ref138076682"/>
      <w:r w:rsidRPr="00DF4430">
        <w:t>Пикосекундная импульсная техника / В. Н. Ильюшенко [и др.], под ред. В. Н. Ильюшенко –  Москва : Энергоатомиздат, 1993. – 386 с.</w:t>
      </w:r>
      <w:bookmarkEnd w:id="20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21" w:name="_Ref138077490"/>
      <w:r>
        <w:rPr>
          <w:lang w:val="en-US"/>
        </w:rPr>
        <w:t>A. M. Bobreshov, A. S. Zhabin, A. D. Ryazantsev, V. A. Stepkin and G. K. Uskov, "Improvement of ultrashort pulses by serial connection of step recovery diodes," in IEEE Microwave and Wireless Components Letters, vol. 31, no. 2, pp. 204-206, Feb. 2021, doi: 10.1109/LMWC.2020.3046925.</w:t>
      </w:r>
      <w:bookmarkEnd w:id="21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22" w:name="_Ref138076795"/>
      <w:r>
        <w:rPr>
          <w:lang w:val="en-US"/>
        </w:rPr>
        <w:t xml:space="preserve">A. M. Bobreshov, A. S. Zhabin, V. A. Stepkin and G. K. Uskov “Novel Tunable Ultrashort Pulse Generator With High Amplitude and Low Ringing Level”, IEEE Microw. </w:t>
      </w:r>
      <w:r>
        <w:t>Wireless Compon. Lett., vol. 27, no. 11, pp. 1013–1015, November 2017</w:t>
      </w:r>
      <w:r>
        <w:rPr>
          <w:lang w:val="en-US"/>
        </w:rPr>
        <w:t>.</w:t>
      </w:r>
      <w:bookmarkEnd w:id="22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23" w:name="_Ref138076804"/>
      <w:r>
        <w:rPr>
          <w:lang w:val="en-US"/>
        </w:rPr>
        <w:t>P. Krishnaswamy, A. Kuthi, P. T. Vernier and M. A. Gundersen, "Compact Subnanosecond Pulse Generator Using Avalanche Transistors for Cell Electroperturbation Studies," in IEEE Transactions on Dielectrics and Electrical Insulation, vol. 14, no. 4, pp. 873-877, Aug. 2007</w:t>
      </w:r>
      <w:bookmarkEnd w:id="23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24" w:name="_Ref138076810"/>
      <w:r>
        <w:rPr>
          <w:lang w:val="en-US"/>
        </w:rPr>
        <w:t>I. V. Grekhov, S. V. Korotkov, A. L. Stepaniants, D. V. Khristyuk, V. B. Voronkov and Y. V. Aristov, "High-power semiconductor-based nano and subnanosecond pulse Generator with a low delay time," in IEEE Transactions on Plasma Science, vol. 33, no. 4, pp. 1240-1244, Aug. 2005</w:t>
      </w:r>
      <w:bookmarkEnd w:id="24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25" w:name="_Ref138076882"/>
      <w:r>
        <w:rPr>
          <w:lang w:val="en-US"/>
        </w:rPr>
        <w:t>A. De Angelis, M. Dionigi, R. Giglietti and P. Carbone, "Experimental Comparison of Low-Cost Sub-Nanosecond Pulse Generators," in IEEE Transactions on Instrumentation and Measurement, vol. 60, no. 1, pp. 310-318, Jan. 2011</w:t>
      </w:r>
      <w:bookmarkEnd w:id="25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26" w:name="_Ref138076816"/>
      <w:r>
        <w:rPr>
          <w:lang w:val="en-US"/>
        </w:rPr>
        <w:t>T. Toyooka and Y. Minamitani, "Development of a cluster burst pulse generator based on a SOS diode switch for bioelectrics applications," 2011 IEEE Pulsed Power Conference, Chicago, IL, USA, 2011, pp. 1186-1189</w:t>
      </w:r>
      <w:bookmarkEnd w:id="26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27" w:name="_Ref138076830"/>
      <w:r>
        <w:rPr>
          <w:lang w:val="en-US"/>
        </w:rPr>
        <w:t>Z. Pei, X. Li, Q. Zhang, Z. Wu, Y. Zhao and X. Chen, "Development of a high voltage, 240ps pulse generator in GIS for PD testing," 2018 IEEE International Power Modulator and High Voltage Conference (IPMHVC), Jackson, WY, USA, 2018, pp. 261-263, doi: 10.1109/IPMHVC.2018.8936712</w:t>
      </w:r>
      <w:r w:rsidRPr="00DF4430">
        <w:rPr>
          <w:lang w:val="en-US"/>
        </w:rPr>
        <w:t>.</w:t>
      </w:r>
      <w:bookmarkEnd w:id="27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28" w:name="_Ref138076851"/>
      <w:r>
        <w:rPr>
          <w:lang w:val="en-US"/>
        </w:rPr>
        <w:lastRenderedPageBreak/>
        <w:t>I. V. Grekhov, "Pulse Power Generation in Nano- and Subnanosecond Range by Means of Ionizing Fronts in Semiconductors: The State of the Art and Future Prospects," in IEEE Transactions on Plasma Science, vol. 38, no. 5, pp. 1118-1123, May 2010</w:t>
      </w:r>
      <w:bookmarkEnd w:id="28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29" w:name="_Ref138076837"/>
      <w:r>
        <w:rPr>
          <w:lang w:val="en-US"/>
        </w:rPr>
        <w:t>Qing Wang and Jianping Yao, "Switchable optical UWB monocycle and doublet generation using a reconfigurable photonic microwave delay-line filter," Opt. Express 15, 14667-14672 (2007)</w:t>
      </w:r>
      <w:bookmarkEnd w:id="29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30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30"/>
    </w:p>
    <w:p w14:paraId="71CC98E0" w14:textId="7758269C" w:rsidR="00F91DDF" w:rsidRDefault="00F91DDF" w:rsidP="00A44303">
      <w:pPr>
        <w:pStyle w:val="a"/>
        <w:rPr>
          <w:lang w:val="en-US"/>
        </w:rPr>
      </w:pPr>
      <w:bookmarkStart w:id="31" w:name="_Ref138077213"/>
      <w:r>
        <w:t>Величкина А. С., Елфимов А. Е., Смусева К. В., Усков Г. K. Расширение частотного диапазона сумматора Уилкинсона для формирования сверхкоротких импульсов// Радиолокация, навигация, связь: XXVIII Международная научно-техническая конференция. 2022. Т. 4. С. 315-322.</w:t>
      </w:r>
      <w:bookmarkEnd w:id="31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32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32"/>
    </w:p>
    <w:p w14:paraId="24202EED" w14:textId="37F2B2E1" w:rsidR="00CD79D8" w:rsidRPr="00D27F7A" w:rsidRDefault="00CD79D8" w:rsidP="00D27F7A">
      <w:pPr>
        <w:pStyle w:val="a"/>
        <w:rPr>
          <w:color w:val="FF0000"/>
        </w:rPr>
      </w:pPr>
      <w:bookmarkStart w:id="33" w:name="_Ref138077677"/>
      <w:r>
        <w:rPr>
          <w:color w:val="000000"/>
          <w:szCs w:val="28"/>
          <w:lang w:val="en-US"/>
        </w:rPr>
        <w:t xml:space="preserve">Ampleon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19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F913DE">
          <w:rPr>
            <w:rStyle w:val="ad"/>
            <w:color w:val="000000" w:themeColor="text1"/>
            <w:szCs w:val="28"/>
            <w:u w:val="none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F913DE">
          <w:rPr>
            <w:rStyle w:val="ad"/>
            <w:color w:val="000000" w:themeColor="text1"/>
            <w:szCs w:val="28"/>
            <w:u w:val="none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F913DE">
          <w:rPr>
            <w:rStyle w:val="ad"/>
            <w:color w:val="000000" w:themeColor="text1"/>
            <w:szCs w:val="28"/>
            <w:u w:val="none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F913DE">
          <w:rPr>
            <w:rStyle w:val="ad"/>
            <w:color w:val="000000" w:themeColor="text1"/>
            <w:szCs w:val="28"/>
            <w:u w:val="none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F913DE">
          <w:rPr>
            <w:rStyle w:val="ad"/>
            <w:color w:val="000000" w:themeColor="text1"/>
            <w:szCs w:val="28"/>
            <w:u w:val="none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F913DE">
          <w:rPr>
            <w:rStyle w:val="ad"/>
            <w:color w:val="000000" w:themeColor="text1"/>
            <w:szCs w:val="28"/>
            <w:u w:val="none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F913DE">
          <w:rPr>
            <w:rStyle w:val="ad"/>
            <w:color w:val="000000" w:themeColor="text1"/>
            <w:szCs w:val="28"/>
            <w:u w:val="none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F913DE">
          <w:rPr>
            <w:rStyle w:val="ad"/>
            <w:color w:val="000000" w:themeColor="text1"/>
            <w:szCs w:val="28"/>
            <w:u w:val="none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r w:rsidRPr="00F913DE">
        <w:rPr>
          <w:color w:val="000000" w:themeColor="text1"/>
          <w:szCs w:val="28"/>
        </w:rPr>
        <w:t xml:space="preserve"> </w:t>
      </w:r>
      <w:r w:rsidR="00D27F7A" w:rsidRPr="00D27F7A">
        <w:rPr>
          <w:color w:val="000000"/>
          <w:szCs w:val="28"/>
        </w:rPr>
        <w:tab/>
      </w:r>
      <w:bookmarkEnd w:id="33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34" w:name="_Ref138079077"/>
      <w:r w:rsidRPr="00D44BC3">
        <w:rPr>
          <w:lang w:val="en-US"/>
        </w:rPr>
        <w:t>NumPy documentation – URL: https://numpy.org/doc/1.24 (дата обращения: 16.01.2023).</w:t>
      </w:r>
      <w:bookmarkEnd w:id="34"/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bookmarkStart w:id="35" w:name="_Ref138079094"/>
      <w:r w:rsidRPr="00D44BC3">
        <w:rPr>
          <w:lang w:val="en-US"/>
        </w:rPr>
        <w:t>Matplotlib 3.6.3 documentation – URL: https://matplotlib.org/stable/index.html</w:t>
      </w:r>
      <w:bookmarkEnd w:id="35"/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2288"/>
    <w:rsid w:val="00047B74"/>
    <w:rsid w:val="00051ACA"/>
    <w:rsid w:val="000661AB"/>
    <w:rsid w:val="000873D3"/>
    <w:rsid w:val="0009158A"/>
    <w:rsid w:val="00106B36"/>
    <w:rsid w:val="001463D3"/>
    <w:rsid w:val="001520BA"/>
    <w:rsid w:val="001569B9"/>
    <w:rsid w:val="001856BB"/>
    <w:rsid w:val="001C6F88"/>
    <w:rsid w:val="001C753D"/>
    <w:rsid w:val="00215C64"/>
    <w:rsid w:val="00225CDD"/>
    <w:rsid w:val="002276E3"/>
    <w:rsid w:val="00237777"/>
    <w:rsid w:val="00260AD2"/>
    <w:rsid w:val="002679DC"/>
    <w:rsid w:val="00272DA7"/>
    <w:rsid w:val="002979E2"/>
    <w:rsid w:val="002B06FF"/>
    <w:rsid w:val="002C1CD8"/>
    <w:rsid w:val="002C3ADA"/>
    <w:rsid w:val="002C5CC5"/>
    <w:rsid w:val="002D415F"/>
    <w:rsid w:val="002D7FC6"/>
    <w:rsid w:val="00306732"/>
    <w:rsid w:val="00347FE4"/>
    <w:rsid w:val="0039722B"/>
    <w:rsid w:val="003A16F3"/>
    <w:rsid w:val="0040669F"/>
    <w:rsid w:val="00432406"/>
    <w:rsid w:val="00473D33"/>
    <w:rsid w:val="0048778D"/>
    <w:rsid w:val="004935AF"/>
    <w:rsid w:val="004F2B05"/>
    <w:rsid w:val="0051060C"/>
    <w:rsid w:val="00516E25"/>
    <w:rsid w:val="005622EE"/>
    <w:rsid w:val="00564773"/>
    <w:rsid w:val="00571D27"/>
    <w:rsid w:val="005F2156"/>
    <w:rsid w:val="00603216"/>
    <w:rsid w:val="006253FB"/>
    <w:rsid w:val="0062567C"/>
    <w:rsid w:val="006403F7"/>
    <w:rsid w:val="006679C8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A780C"/>
    <w:rsid w:val="007B1BD5"/>
    <w:rsid w:val="007B4C2D"/>
    <w:rsid w:val="008022A8"/>
    <w:rsid w:val="00835CB8"/>
    <w:rsid w:val="00837954"/>
    <w:rsid w:val="00886CBD"/>
    <w:rsid w:val="008907DD"/>
    <w:rsid w:val="00891832"/>
    <w:rsid w:val="00892759"/>
    <w:rsid w:val="00917491"/>
    <w:rsid w:val="00940649"/>
    <w:rsid w:val="009667FA"/>
    <w:rsid w:val="0096694F"/>
    <w:rsid w:val="009672CA"/>
    <w:rsid w:val="0097463A"/>
    <w:rsid w:val="009D2004"/>
    <w:rsid w:val="009F53C1"/>
    <w:rsid w:val="009F6DCF"/>
    <w:rsid w:val="00A005DD"/>
    <w:rsid w:val="00A103AF"/>
    <w:rsid w:val="00A378E7"/>
    <w:rsid w:val="00A427B8"/>
    <w:rsid w:val="00A44303"/>
    <w:rsid w:val="00A61E1D"/>
    <w:rsid w:val="00AC3A79"/>
    <w:rsid w:val="00B06D6B"/>
    <w:rsid w:val="00B55943"/>
    <w:rsid w:val="00B913E5"/>
    <w:rsid w:val="00B955A8"/>
    <w:rsid w:val="00BC16B2"/>
    <w:rsid w:val="00C057B6"/>
    <w:rsid w:val="00C117F7"/>
    <w:rsid w:val="00C52268"/>
    <w:rsid w:val="00CA5620"/>
    <w:rsid w:val="00CC0807"/>
    <w:rsid w:val="00CC22B0"/>
    <w:rsid w:val="00CC47CC"/>
    <w:rsid w:val="00CC49AF"/>
    <w:rsid w:val="00CD79D8"/>
    <w:rsid w:val="00D013AA"/>
    <w:rsid w:val="00D211D7"/>
    <w:rsid w:val="00D27F7A"/>
    <w:rsid w:val="00D43248"/>
    <w:rsid w:val="00D44BC3"/>
    <w:rsid w:val="00D654E1"/>
    <w:rsid w:val="00D74C00"/>
    <w:rsid w:val="00DD4679"/>
    <w:rsid w:val="00DE17E0"/>
    <w:rsid w:val="00DF4430"/>
    <w:rsid w:val="00E13302"/>
    <w:rsid w:val="00E6456D"/>
    <w:rsid w:val="00E65C68"/>
    <w:rsid w:val="00E86E6C"/>
    <w:rsid w:val="00EA10FC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84FEA"/>
    <w:rsid w:val="00F913DE"/>
    <w:rsid w:val="00F91DDF"/>
    <w:rsid w:val="00F9793D"/>
    <w:rsid w:val="00FB1E77"/>
    <w:rsid w:val="00FC3650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sv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4.jpeg"/><Relationship Id="rId19" Type="http://schemas.openxmlformats.org/officeDocument/2006/relationships/hyperlink" Target="https://www.ampleon.com/documents/data-sheet/BLF574.pdf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20</Pages>
  <Words>3246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Анастасия Величкина</cp:lastModifiedBy>
  <cp:revision>88</cp:revision>
  <dcterms:created xsi:type="dcterms:W3CDTF">2023-05-29T13:21:00Z</dcterms:created>
  <dcterms:modified xsi:type="dcterms:W3CDTF">2023-06-19T12:28:00Z</dcterms:modified>
</cp:coreProperties>
</file>