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5355" w14:textId="113384A7" w:rsidR="005F3480" w:rsidRPr="008B568A" w:rsidRDefault="00C67A26" w:rsidP="00DD6F57">
      <w:pPr>
        <w:pStyle w:val="1"/>
      </w:pPr>
      <w:r>
        <w:t>Анализ основных характеристик нелинейного устройства</w:t>
      </w:r>
    </w:p>
    <w:p w14:paraId="3375ABFF" w14:textId="7A951205" w:rsidR="008B568A" w:rsidRDefault="008B568A" w:rsidP="00DD6F57">
      <w:r w:rsidRPr="008B568A">
        <w:rPr>
          <w:u w:val="single"/>
        </w:rPr>
        <w:t>Выполнила</w:t>
      </w:r>
      <w:r>
        <w:t>: Величкина А.С.</w:t>
      </w:r>
    </w:p>
    <w:p w14:paraId="43E13F27" w14:textId="3ADC65F6" w:rsidR="008B568A" w:rsidRDefault="008B568A" w:rsidP="00DD6F57">
      <w:r w:rsidRPr="008B568A">
        <w:rPr>
          <w:u w:val="single"/>
        </w:rPr>
        <w:t>Задание 1</w:t>
      </w:r>
      <w:r>
        <w:t>. Выбор нелинейного устройства для анализа.</w:t>
      </w:r>
    </w:p>
    <w:p w14:paraId="34406B81" w14:textId="0DB3E711" w:rsidR="008B568A" w:rsidRDefault="008B568A" w:rsidP="00DD6F57">
      <w:r>
        <w:t>Для анализа была выбрана схема нелинейного смесителя на основе полевого транзистора (</w:t>
      </w:r>
      <w:r>
        <w:rPr>
          <w:lang w:val="en-US"/>
        </w:rPr>
        <w:t>FET</w:t>
      </w:r>
      <w:r w:rsidRPr="008B568A">
        <w:t>_</w:t>
      </w:r>
      <w:r>
        <w:rPr>
          <w:lang w:val="en-US"/>
        </w:rPr>
        <w:t>Mixer</w:t>
      </w:r>
      <w:r>
        <w:t xml:space="preserve">) с диплексером из сосредоточенных элементов для разделения </w:t>
      </w:r>
      <w:r>
        <w:rPr>
          <w:lang w:val="en-US"/>
        </w:rPr>
        <w:t>IF</w:t>
      </w:r>
      <w:r w:rsidRPr="008B568A">
        <w:t xml:space="preserve"> </w:t>
      </w:r>
      <w:r>
        <w:t xml:space="preserve">и </w:t>
      </w:r>
      <w:r>
        <w:rPr>
          <w:lang w:val="en-US"/>
        </w:rPr>
        <w:t>RF</w:t>
      </w:r>
      <w:r w:rsidRPr="008B568A">
        <w:t xml:space="preserve"> </w:t>
      </w:r>
      <w:r>
        <w:t xml:space="preserve">компонентов сигнала из пакета </w:t>
      </w:r>
      <w:r>
        <w:rPr>
          <w:lang w:val="en-US"/>
        </w:rPr>
        <w:t>Microwave</w:t>
      </w:r>
      <w:r w:rsidRPr="008B568A">
        <w:t xml:space="preserve"> </w:t>
      </w:r>
      <w:r>
        <w:rPr>
          <w:lang w:val="en-US"/>
        </w:rPr>
        <w:t>office</w:t>
      </w:r>
      <w:r w:rsidRPr="008B568A">
        <w:t>.</w:t>
      </w:r>
      <w:r>
        <w:t xml:space="preserve"> Общая схема устройства приведена на рис. 1. </w:t>
      </w:r>
    </w:p>
    <w:p w14:paraId="49B41EF6" w14:textId="62D611A8" w:rsidR="008B568A" w:rsidRDefault="008B568A" w:rsidP="00DD6F57">
      <w:pPr>
        <w:pStyle w:val="a8"/>
      </w:pPr>
      <w:r w:rsidRPr="008B568A">
        <w:rPr>
          <w:noProof/>
        </w:rPr>
        <w:drawing>
          <wp:inline distT="0" distB="0" distL="0" distR="0" wp14:anchorId="0915AB3D" wp14:editId="724F2F4A">
            <wp:extent cx="5940425" cy="2811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49E6" w14:textId="44D10446" w:rsidR="008B568A" w:rsidRDefault="008B568A" w:rsidP="00DD6F57">
      <w:pPr>
        <w:pStyle w:val="a8"/>
      </w:pPr>
      <w:r>
        <w:t>Рис. 1. Общая схема смесителя на основе полевого транзистора.</w:t>
      </w:r>
    </w:p>
    <w:p w14:paraId="219DC3A1" w14:textId="5351EDA1" w:rsidR="008B568A" w:rsidRDefault="008B568A" w:rsidP="00DD6F57">
      <w:r w:rsidRPr="008B568A">
        <w:rPr>
          <w:u w:val="single"/>
        </w:rPr>
        <w:t xml:space="preserve">Задание 2. </w:t>
      </w:r>
      <w:r>
        <w:t>Амплитудно-частотная характеристика</w:t>
      </w:r>
    </w:p>
    <w:p w14:paraId="091612A8" w14:textId="4F08C63E" w:rsidR="008B568A" w:rsidRDefault="008B568A" w:rsidP="00DD6F57">
      <w:r>
        <w:t xml:space="preserve">В пакете </w:t>
      </w:r>
      <w:r>
        <w:rPr>
          <w:lang w:val="en-US"/>
        </w:rPr>
        <w:t>AWR</w:t>
      </w:r>
      <w:r w:rsidRPr="008B568A">
        <w:t xml:space="preserve"> </w:t>
      </w:r>
      <w:r>
        <w:t xml:space="preserve">АЧХ была получена следующим образом. На входной порт устройства подавался гармонический сигнал с частотами </w:t>
      </w:r>
      <w:r w:rsidR="00C67A26">
        <w:t xml:space="preserve">от 500 МГц до 30 ГГц с шагом в 500 МГц. Эти настройки были заданы в свойствах проекта и применены к исследуемой схеме. </w:t>
      </w:r>
    </w:p>
    <w:p w14:paraId="1EAA192F" w14:textId="4823DADB" w:rsidR="00C67A26" w:rsidRPr="00DD6F57" w:rsidRDefault="00C67A26" w:rsidP="00DD6F57">
      <w:pPr>
        <w:rPr>
          <w:lang w:val="en-US"/>
        </w:rPr>
      </w:pPr>
      <w:r>
        <w:t xml:space="preserve">Для построения графика были использованы нелинейные методы анализа. Измерялась мощность на выходном порте устройства с помощью измерения типа </w:t>
      </w:r>
      <w:r>
        <w:rPr>
          <w:lang w:val="en-US"/>
        </w:rPr>
        <w:t>PGain</w:t>
      </w:r>
      <w:r w:rsidRPr="00C67A26">
        <w:t xml:space="preserve">. </w:t>
      </w:r>
      <w:r>
        <w:t>Результат моделирования представлен на рисунке 2.</w:t>
      </w:r>
      <w:r w:rsidR="00DD6F57">
        <w:t xml:space="preserve"> За входной порт принят </w:t>
      </w:r>
      <w:r w:rsidR="00DD6F57">
        <w:rPr>
          <w:lang w:val="en-US"/>
        </w:rPr>
        <w:t>PORT</w:t>
      </w:r>
      <w:r w:rsidR="00DD6F57" w:rsidRPr="00DD6F57">
        <w:t xml:space="preserve">1, </w:t>
      </w:r>
      <w:r w:rsidR="00DD6F57">
        <w:t xml:space="preserve">за выходной </w:t>
      </w:r>
      <w:r w:rsidR="00DD6F57">
        <w:rPr>
          <w:lang w:val="en-US"/>
        </w:rPr>
        <w:t>PORT</w:t>
      </w:r>
      <w:r w:rsidR="00DD6F57" w:rsidRPr="00DD6F57">
        <w:t xml:space="preserve">2. </w:t>
      </w:r>
      <w:r w:rsidR="00DD6F57">
        <w:t xml:space="preserve">Метод анализа: </w:t>
      </w:r>
      <w:r w:rsidR="00DD6F57">
        <w:rPr>
          <w:lang w:val="en-US"/>
        </w:rPr>
        <w:t>APLAC</w:t>
      </w:r>
    </w:p>
    <w:p w14:paraId="53DEAEBA" w14:textId="28CA660B" w:rsidR="00C67A26" w:rsidRDefault="00C67A26" w:rsidP="00DD6F57">
      <w:pPr>
        <w:pStyle w:val="a8"/>
      </w:pPr>
      <w:r w:rsidRPr="00C67A26">
        <w:rPr>
          <w:noProof/>
        </w:rPr>
        <w:lastRenderedPageBreak/>
        <w:drawing>
          <wp:inline distT="0" distB="0" distL="0" distR="0" wp14:anchorId="4C79414D" wp14:editId="27740401">
            <wp:extent cx="5940425" cy="3947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7901" w14:textId="7E14CFD2" w:rsidR="00C67A26" w:rsidRDefault="00C67A26" w:rsidP="00DD6F57">
      <w:pPr>
        <w:pStyle w:val="a8"/>
      </w:pPr>
      <w:r>
        <w:t>Рис. 2. Амплитудно-частотная характеристика смесителя</w:t>
      </w:r>
    </w:p>
    <w:p w14:paraId="7F759636" w14:textId="5AD947AB" w:rsidR="00C67A26" w:rsidRDefault="00C67A26" w:rsidP="00DD6F57">
      <w:r>
        <w:t xml:space="preserve">Из анализа полученного результата следует, что максимум амплитудно-частотной характеристики приходится на рабочую частоту в 6.5 ГГц. Всё дальнейшее моделирование будет проходить с использованием этой частоты на входе устройства. </w:t>
      </w:r>
    </w:p>
    <w:p w14:paraId="5C9F4748" w14:textId="3F53A0AE" w:rsidR="00C67A26" w:rsidRDefault="00C67A26" w:rsidP="00DD6F57">
      <w:r w:rsidRPr="00C67A26">
        <w:rPr>
          <w:u w:val="single"/>
        </w:rPr>
        <w:t xml:space="preserve">Задание 3. </w:t>
      </w:r>
      <w:r>
        <w:t>Зависимость коэффициента усиления от входной мощности</w:t>
      </w:r>
    </w:p>
    <w:p w14:paraId="064816CB" w14:textId="057526A9" w:rsidR="00C67A26" w:rsidRPr="00DD6F57" w:rsidRDefault="00C67A26" w:rsidP="00DD6F57">
      <w:r w:rsidRPr="00DD6F57">
        <w:t xml:space="preserve">Нелинейность исследуемого устройства проявляется в </w:t>
      </w:r>
      <w:r w:rsidR="00DD6F57" w:rsidRPr="00DD6F57">
        <w:t xml:space="preserve">том, что при изменении мощности входного сигнала изменяется коэффициент усиления устройства. Для исследования этой зависимости в пакете AWR была создана новая схема, приведенная на рис. 3. </w:t>
      </w:r>
    </w:p>
    <w:p w14:paraId="1C9A3C00" w14:textId="77777777" w:rsidR="00625F65" w:rsidRDefault="00DD6F57" w:rsidP="00DD6F57">
      <w:pPr>
        <w:pStyle w:val="a8"/>
      </w:pPr>
      <w:r w:rsidRPr="00DD6F57">
        <w:rPr>
          <w:noProof/>
        </w:rPr>
        <w:lastRenderedPageBreak/>
        <w:drawing>
          <wp:inline distT="0" distB="0" distL="0" distR="0" wp14:anchorId="62B6C2D1" wp14:editId="099BD378">
            <wp:extent cx="5617028" cy="245936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28" cy="2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B6D" w14:textId="31AEDE7D" w:rsidR="00DD6F57" w:rsidRDefault="00DD6F57" w:rsidP="00DD6F57">
      <w:pPr>
        <w:pStyle w:val="a8"/>
      </w:pPr>
      <w:r>
        <w:t>Рис. 3. Схема для исследования зависимости коэффициента усиления от входной мощности.</w:t>
      </w:r>
    </w:p>
    <w:p w14:paraId="21572456" w14:textId="7B48BE77" w:rsidR="00DD6F57" w:rsidRDefault="00DD6F57" w:rsidP="00DD6F57">
      <w:r>
        <w:t xml:space="preserve">Принципиальное отличие этой схемы от схемы, приведенной на рис. 1. заключается в том, что входной порт имеет регулируемую мощность входного сигнала. Для моделирования был выбран диапазон изменения входной мощности от -15 до 25 </w:t>
      </w:r>
      <w:r>
        <w:rPr>
          <w:lang w:val="en-US"/>
        </w:rPr>
        <w:t>dBm</w:t>
      </w:r>
      <w:r w:rsidRPr="00DD6F57">
        <w:t xml:space="preserve"> </w:t>
      </w:r>
      <w:r>
        <w:t xml:space="preserve">с шагом в 1 </w:t>
      </w:r>
      <w:r>
        <w:rPr>
          <w:lang w:val="en-US"/>
        </w:rPr>
        <w:t>dBm</w:t>
      </w:r>
      <w:r w:rsidRPr="00DD6F57">
        <w:t xml:space="preserve">. </w:t>
      </w:r>
      <w:r>
        <w:t xml:space="preserve">График зависимости коэффициента усиления также строился с помощью нелинейных методов анализа, измерялась </w:t>
      </w:r>
      <w:r>
        <w:rPr>
          <w:lang w:val="en-US"/>
        </w:rPr>
        <w:t>PGain</w:t>
      </w:r>
      <w:r w:rsidRPr="00DD6F57">
        <w:t xml:space="preserve">. </w:t>
      </w:r>
      <w:r>
        <w:t xml:space="preserve">За входной порт принят </w:t>
      </w:r>
      <w:r>
        <w:rPr>
          <w:lang w:val="en-US"/>
        </w:rPr>
        <w:t>PORT</w:t>
      </w:r>
      <w:r w:rsidRPr="00DD6F57">
        <w:t xml:space="preserve">1, </w:t>
      </w:r>
      <w:r>
        <w:t xml:space="preserve">за выходной </w:t>
      </w:r>
      <w:r>
        <w:rPr>
          <w:lang w:val="en-US"/>
        </w:rPr>
        <w:t>PORT</w:t>
      </w:r>
      <w:r w:rsidRPr="00DD6F57">
        <w:t xml:space="preserve">2. </w:t>
      </w:r>
      <w:r>
        <w:t xml:space="preserve">Метод анализа: </w:t>
      </w:r>
      <w:r>
        <w:rPr>
          <w:lang w:val="en-US"/>
        </w:rPr>
        <w:t>APLAC</w:t>
      </w:r>
      <w:r w:rsidRPr="00DD6F57">
        <w:t>.</w:t>
      </w:r>
      <w:r w:rsidRPr="00D30A6B">
        <w:t xml:space="preserve"> </w:t>
      </w:r>
      <w:r>
        <w:t xml:space="preserve">Результаты моделирования приведены на рис. 4. </w:t>
      </w:r>
    </w:p>
    <w:p w14:paraId="30BFDEE1" w14:textId="52379063" w:rsidR="00DD6F57" w:rsidRDefault="00DD6F57" w:rsidP="00DD6F57">
      <w:pPr>
        <w:pStyle w:val="a8"/>
        <w:rPr>
          <w:lang w:val="en-US"/>
        </w:rPr>
      </w:pPr>
      <w:r w:rsidRPr="00DD6F57">
        <w:rPr>
          <w:noProof/>
          <w:lang w:val="en-US"/>
        </w:rPr>
        <w:drawing>
          <wp:inline distT="0" distB="0" distL="0" distR="0" wp14:anchorId="705D4872" wp14:editId="39D241EA">
            <wp:extent cx="4779715" cy="316774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622" cy="31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2C3" w14:textId="3C6EFB6F" w:rsidR="00DD6F57" w:rsidRPr="00DD6F57" w:rsidRDefault="00DD6F57" w:rsidP="00DD6F57">
      <w:pPr>
        <w:pStyle w:val="a8"/>
      </w:pPr>
      <w:r>
        <w:t>Рис.4. Зависимость коэффициента усиления от входной мощности.</w:t>
      </w:r>
    </w:p>
    <w:p w14:paraId="2EDCBB39" w14:textId="1D00AC49" w:rsidR="00DD6F57" w:rsidRDefault="00DD6F57" w:rsidP="00DD6F57">
      <w:r>
        <w:lastRenderedPageBreak/>
        <w:t xml:space="preserve">Проанализируем полученный результат. </w:t>
      </w:r>
      <w:r w:rsidR="00625F65">
        <w:t>Нелинейность устройства начинает явно проявляться при мощности входного сигнала порядка</w:t>
      </w:r>
      <w:r>
        <w:t xml:space="preserve"> </w:t>
      </w:r>
      <w:r w:rsidR="00625F65">
        <w:t xml:space="preserve">22.5 </w:t>
      </w:r>
      <w:r w:rsidR="00625F65">
        <w:rPr>
          <w:lang w:val="en-US"/>
        </w:rPr>
        <w:t>dBm</w:t>
      </w:r>
      <w:r w:rsidR="00625F65">
        <w:t xml:space="preserve"> (считаем, что режим функционирования устройства становится нелинейным при изменении коэффициента усиления более чем на 5дБ)</w:t>
      </w:r>
      <w:r w:rsidR="00625F65" w:rsidRPr="00625F65">
        <w:t xml:space="preserve">. </w:t>
      </w:r>
      <w:r w:rsidR="00625F65">
        <w:t xml:space="preserve">Соответствующие нелинейному и линейному случаям функционирования устройства мощности входного сигнала отмечены на приведенном графике маркерами. </w:t>
      </w:r>
    </w:p>
    <w:p w14:paraId="3DDE2A69" w14:textId="6DB7273F" w:rsidR="00625F65" w:rsidRDefault="00625F65" w:rsidP="00DD6F57">
      <w:r w:rsidRPr="00625F65">
        <w:rPr>
          <w:u w:val="single"/>
        </w:rPr>
        <w:t xml:space="preserve">Задание 4. </w:t>
      </w:r>
      <w:r>
        <w:t xml:space="preserve">Исследование интермодуляции 3 и 5 порядков. </w:t>
      </w:r>
    </w:p>
    <w:p w14:paraId="2669822A" w14:textId="2540402A" w:rsidR="00625F65" w:rsidRDefault="00625F65" w:rsidP="00DD6F57">
      <w:r>
        <w:t xml:space="preserve">Еще одним проявлением нелинейности устройства является наличие эффекта интермодуляции. Схема для исследования этого эффекта приведена на рис. 5. </w:t>
      </w:r>
    </w:p>
    <w:p w14:paraId="3E73250D" w14:textId="388C5C77" w:rsidR="00625F65" w:rsidRPr="00625F65" w:rsidRDefault="00625F65" w:rsidP="00625F65">
      <w:pPr>
        <w:pStyle w:val="a8"/>
      </w:pPr>
      <w:r w:rsidRPr="00625F65">
        <w:rPr>
          <w:noProof/>
        </w:rPr>
        <w:drawing>
          <wp:inline distT="0" distB="0" distL="0" distR="0" wp14:anchorId="7BC40EEE" wp14:editId="7BCA5C9D">
            <wp:extent cx="5940425" cy="2729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3A5" w14:textId="0F1C5044" w:rsidR="00625F65" w:rsidRDefault="00625F65" w:rsidP="00625F65">
      <w:pPr>
        <w:pStyle w:val="a8"/>
      </w:pPr>
      <w:r>
        <w:t>Рис. 5. Схема для исследования эффекта интермодуляции</w:t>
      </w:r>
    </w:p>
    <w:p w14:paraId="4C400650" w14:textId="15254F9D" w:rsidR="00625F65" w:rsidRDefault="00625F65" w:rsidP="00625F65">
      <w:r>
        <w:t xml:space="preserve">В данной схеме в качестве входного порта используется двухтоновый порт с регулируемой мощностью помехи. Частотная расстройка составляет 1 МГц. </w:t>
      </w:r>
    </w:p>
    <w:p w14:paraId="23C38E10" w14:textId="77777777" w:rsidR="00076D70" w:rsidRDefault="00625F65" w:rsidP="00625F65">
      <w:r>
        <w:t xml:space="preserve">Для получения зависимостей мощности интермодуляционного продукта от входной мощности помехи использовался метод моделирования </w:t>
      </w:r>
      <w:r>
        <w:rPr>
          <w:lang w:val="en-US"/>
        </w:rPr>
        <w:t>APAC</w:t>
      </w:r>
      <w:r w:rsidRPr="00625F65">
        <w:t xml:space="preserve">, </w:t>
      </w:r>
      <w:r>
        <w:t xml:space="preserve">измерения проводились по мощности, измерялась величина </w:t>
      </w:r>
      <w:r>
        <w:rPr>
          <w:lang w:val="en-US"/>
        </w:rPr>
        <w:t>PComp</w:t>
      </w:r>
      <w:r w:rsidRPr="00625F65">
        <w:t xml:space="preserve">. </w:t>
      </w:r>
      <w:r>
        <w:t xml:space="preserve">Измерения проводились на частоте 6.5 ГГц. Измерялись интермодуляционные продукты 3 и 5 порядков для двух возможных случаев их получения. </w:t>
      </w:r>
      <w:r w:rsidR="00076D70">
        <w:t xml:space="preserve">Порядок модуляции выбирался с помощью настройки </w:t>
      </w:r>
      <w:r w:rsidR="00076D70">
        <w:rPr>
          <w:lang w:val="en-US"/>
        </w:rPr>
        <w:t>Harmonic</w:t>
      </w:r>
      <w:r w:rsidR="00076D70" w:rsidRPr="00076D70">
        <w:t xml:space="preserve"> </w:t>
      </w:r>
      <w:r w:rsidR="00076D70">
        <w:rPr>
          <w:lang w:val="en-US"/>
        </w:rPr>
        <w:t>Index</w:t>
      </w:r>
      <w:r w:rsidR="00076D70" w:rsidRPr="00076D70">
        <w:t xml:space="preserve">. </w:t>
      </w:r>
      <w:r>
        <w:t xml:space="preserve">Мощность </w:t>
      </w:r>
      <w:r>
        <w:lastRenderedPageBreak/>
        <w:t xml:space="preserve">помехи изменялась от 0 до 25 </w:t>
      </w:r>
      <w:r>
        <w:rPr>
          <w:lang w:val="en-US"/>
        </w:rPr>
        <w:t>dBm</w:t>
      </w:r>
      <w:r>
        <w:t xml:space="preserve"> с шагом в 1 </w:t>
      </w:r>
      <w:r>
        <w:rPr>
          <w:lang w:val="en-US"/>
        </w:rPr>
        <w:t>dBm</w:t>
      </w:r>
      <w:r w:rsidRPr="00625F65">
        <w:t xml:space="preserve">. </w:t>
      </w:r>
      <w:r>
        <w:t xml:space="preserve">Результаты моделирования приведены на рис. 6. </w:t>
      </w:r>
    </w:p>
    <w:p w14:paraId="536BF29B" w14:textId="202DC9BD" w:rsidR="00625F65" w:rsidRDefault="00076D70" w:rsidP="00076D70">
      <w:pPr>
        <w:pStyle w:val="a8"/>
      </w:pPr>
      <w:r w:rsidRPr="00076D70">
        <w:rPr>
          <w:noProof/>
        </w:rPr>
        <w:drawing>
          <wp:inline distT="0" distB="0" distL="0" distR="0" wp14:anchorId="440C5FA7" wp14:editId="12B1F6A3">
            <wp:extent cx="5940425" cy="3975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2DE8" w14:textId="5ADDC444" w:rsidR="00076D70" w:rsidRPr="00076D70" w:rsidRDefault="00076D70" w:rsidP="00076D70">
      <w:pPr>
        <w:pStyle w:val="a8"/>
      </w:pPr>
      <w:r>
        <w:t>Рис. 6. Исследование интермодуляции в усилителе на полевом транзисторе.</w:t>
      </w:r>
    </w:p>
    <w:p w14:paraId="70961D95" w14:textId="083C075C" w:rsidR="00076D70" w:rsidRDefault="00076D70" w:rsidP="00625F65">
      <w:r>
        <w:t xml:space="preserve">Проанализируем полученный результат. Розовой и синей линии соответствует интемодуляция 3 порядка, красной и коричневой – 5 порядка. Видно, что полученные с помощью комбинации разных частот интермодуляционные продукты 3 и 5 порядков совпадают. Мощность интермодуляционных продуктов 5 порядка ожидаемо заметно меньше мощностей интермодуляционных продуктов 3 порядка. С увеличением мощности помехи мощность интермодуляционного продукта ожидаемо растет. Однако следует отметить достаточно широкую область линейного режима работы устройства. </w:t>
      </w:r>
    </w:p>
    <w:p w14:paraId="01F30FD8" w14:textId="12E59F51" w:rsidR="00076D70" w:rsidRDefault="00076D70" w:rsidP="00625F65">
      <w:r w:rsidRPr="00076D70">
        <w:rPr>
          <w:u w:val="single"/>
        </w:rPr>
        <w:t>Задание 5.</w:t>
      </w:r>
      <w:r>
        <w:t xml:space="preserve"> Исследование эффекта блокирования</w:t>
      </w:r>
    </w:p>
    <w:p w14:paraId="0E1DB015" w14:textId="1C3166EB" w:rsidR="00076D70" w:rsidRDefault="00076D70" w:rsidP="00625F65">
      <w:r>
        <w:t xml:space="preserve">Блокирование также является одним из нежелательных эффектов в устройстве, возникающих из-за нелинейности устройства. Схема для исследования этого явления представлена на рис. 7. </w:t>
      </w:r>
    </w:p>
    <w:p w14:paraId="2E45FC72" w14:textId="2C168E24" w:rsidR="00076D70" w:rsidRDefault="00076D70" w:rsidP="00076D70">
      <w:pPr>
        <w:pStyle w:val="a8"/>
      </w:pPr>
      <w:r w:rsidRPr="00076D70">
        <w:rPr>
          <w:noProof/>
        </w:rPr>
        <w:lastRenderedPageBreak/>
        <w:drawing>
          <wp:inline distT="0" distB="0" distL="0" distR="0" wp14:anchorId="7C07E714" wp14:editId="341F33E4">
            <wp:extent cx="5940425" cy="2784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C86" w14:textId="38FBF35B" w:rsidR="00076D70" w:rsidRDefault="00076D70" w:rsidP="00076D70">
      <w:pPr>
        <w:pStyle w:val="a8"/>
      </w:pPr>
      <w:r>
        <w:t>Рис. 7. Схема для исследования эффекта блокирования</w:t>
      </w:r>
    </w:p>
    <w:p w14:paraId="34B3C001" w14:textId="0677184C" w:rsidR="00076D70" w:rsidRDefault="00076D70" w:rsidP="00076D70">
      <w:r>
        <w:t xml:space="preserve">В данной схеме для изменения параметра мощности только одной из составляющих двухтонового сигнала используется работа с переменными в </w:t>
      </w:r>
      <w:r>
        <w:rPr>
          <w:lang w:val="en-US"/>
        </w:rPr>
        <w:t>AWR</w:t>
      </w:r>
      <w:r>
        <w:t xml:space="preserve">. Значению мощности помехи во входном устройстве присваивается значение </w:t>
      </w:r>
      <w:r>
        <w:rPr>
          <w:lang w:val="en-US"/>
        </w:rPr>
        <w:t>pp</w:t>
      </w:r>
      <w:r w:rsidRPr="00076D70">
        <w:t xml:space="preserve"> </w:t>
      </w:r>
      <w:r>
        <w:t xml:space="preserve">отдельно созданной переменной. Затем для нее настраивается </w:t>
      </w:r>
      <w:r>
        <w:rPr>
          <w:lang w:val="en-US"/>
        </w:rPr>
        <w:t>Sweep</w:t>
      </w:r>
      <w:r w:rsidRPr="00076D70">
        <w:t xml:space="preserve">. </w:t>
      </w:r>
      <w:r>
        <w:t xml:space="preserve">Для моделирования был выбран диапазон мощностей входной помехи от -5 до 10 </w:t>
      </w:r>
      <w:r w:rsidR="00FD10A9">
        <w:t xml:space="preserve">дБМ, с шагом в 0.5 дБм. Частотная расстройка также составляет 1 МГц. </w:t>
      </w:r>
    </w:p>
    <w:p w14:paraId="21EBCFEA" w14:textId="64D0BAB1" w:rsidR="00FD10A9" w:rsidRDefault="00FD10A9" w:rsidP="00076D70">
      <w:r>
        <w:t xml:space="preserve">Исследование проводилось также с помощью метода расчета модели </w:t>
      </w:r>
      <w:r>
        <w:rPr>
          <w:lang w:val="en-US"/>
        </w:rPr>
        <w:t>APLAC</w:t>
      </w:r>
      <w:r w:rsidRPr="00FD10A9">
        <w:t xml:space="preserve">, </w:t>
      </w:r>
      <w:r>
        <w:t xml:space="preserve">рабочая частота </w:t>
      </w:r>
      <w:r w:rsidRPr="00FD10A9">
        <w:t xml:space="preserve">6.5 </w:t>
      </w:r>
      <w:r>
        <w:t xml:space="preserve">ГГц, </w:t>
      </w:r>
      <w:r>
        <w:rPr>
          <w:lang w:val="en-US"/>
        </w:rPr>
        <w:t>Harmonic</w:t>
      </w:r>
      <w:r w:rsidRPr="00FD10A9">
        <w:t xml:space="preserve"> </w:t>
      </w:r>
      <w:r>
        <w:rPr>
          <w:lang w:val="en-US"/>
        </w:rPr>
        <w:t>Index</w:t>
      </w:r>
      <w:r w:rsidRPr="00FD10A9">
        <w:t xml:space="preserve"> 1_0. </w:t>
      </w:r>
      <w:r>
        <w:t xml:space="preserve">Измерялась мощность </w:t>
      </w:r>
      <w:r>
        <w:rPr>
          <w:lang w:val="en-US"/>
        </w:rPr>
        <w:t>PComp</w:t>
      </w:r>
      <w:r w:rsidRPr="00FD10A9">
        <w:t xml:space="preserve"> </w:t>
      </w:r>
      <w:r>
        <w:t>на выходном порте устройства. Результаты измерений блокирования в устройстве представлены на рис. 8.</w:t>
      </w:r>
    </w:p>
    <w:p w14:paraId="17EFC7CD" w14:textId="0F697E8B" w:rsidR="00FD10A9" w:rsidRDefault="00FD10A9" w:rsidP="00FD10A9">
      <w:pPr>
        <w:pStyle w:val="a8"/>
      </w:pPr>
      <w:r w:rsidRPr="00FD10A9">
        <w:rPr>
          <w:noProof/>
        </w:rPr>
        <w:lastRenderedPageBreak/>
        <w:drawing>
          <wp:inline distT="0" distB="0" distL="0" distR="0" wp14:anchorId="51365FD0" wp14:editId="47227183">
            <wp:extent cx="5940425" cy="3922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6B4" w14:textId="537EEAAD" w:rsidR="00FD10A9" w:rsidRDefault="00FD10A9" w:rsidP="00FD10A9">
      <w:pPr>
        <w:pStyle w:val="a8"/>
      </w:pPr>
      <w:r>
        <w:t>Рис. 7. Блокирование в смесителе на полевом транзисторе</w:t>
      </w:r>
    </w:p>
    <w:p w14:paraId="46FDC76A" w14:textId="2C1DF4A1" w:rsidR="00FD10A9" w:rsidRDefault="00FD10A9" w:rsidP="00FD10A9">
      <w:r>
        <w:t>Проанализируем полученный результат. Стоит отметить достаточно низкий уровень блокирования, составляющий -17</w:t>
      </w:r>
      <w:r w:rsidRPr="00FD10A9">
        <w:t xml:space="preserve">.5 </w:t>
      </w:r>
      <w:r>
        <w:t xml:space="preserve">дБ в своем максимуме. Коэффициент блокирования может быть получен для данного устройства путем нормирования и использования уравнений в среде </w:t>
      </w:r>
      <w:r>
        <w:rPr>
          <w:lang w:val="en-US"/>
        </w:rPr>
        <w:t>AWR</w:t>
      </w:r>
      <w:r w:rsidRPr="00FD10A9">
        <w:t xml:space="preserve">. </w:t>
      </w:r>
      <w:r>
        <w:t xml:space="preserve">Для исследования был выбран больший диапазон, включающий большую область линейности функционирования устройства. Результат моделирования представлен на рис. 8. </w:t>
      </w:r>
    </w:p>
    <w:p w14:paraId="07746DD2" w14:textId="143E80F5" w:rsidR="00FD10A9" w:rsidRDefault="00FD10A9" w:rsidP="00FD10A9">
      <w:pPr>
        <w:pStyle w:val="a8"/>
      </w:pPr>
      <w:r w:rsidRPr="00FD10A9">
        <w:rPr>
          <w:noProof/>
        </w:rPr>
        <w:lastRenderedPageBreak/>
        <w:drawing>
          <wp:inline distT="0" distB="0" distL="0" distR="0" wp14:anchorId="2EDF5665" wp14:editId="49023CB4">
            <wp:extent cx="5220152" cy="35055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0E2" w14:textId="6F88E32E" w:rsidR="00FD10A9" w:rsidRDefault="00FD10A9" w:rsidP="00FD10A9">
      <w:pPr>
        <w:pStyle w:val="a8"/>
      </w:pPr>
      <w:r>
        <w:t>Рис. 8. Коэффициент блокирования в смесителе</w:t>
      </w:r>
    </w:p>
    <w:p w14:paraId="71805C36" w14:textId="2A26A026" w:rsidR="00FD10A9" w:rsidRPr="00FD10A9" w:rsidRDefault="00FD10A9" w:rsidP="00FD10A9">
      <w:r w:rsidRPr="00FD10A9">
        <w:rPr>
          <w:u w:val="single"/>
        </w:rPr>
        <w:t>Заключение</w:t>
      </w:r>
      <w:r>
        <w:rPr>
          <w:u w:val="single"/>
        </w:rPr>
        <w:t xml:space="preserve">. </w:t>
      </w:r>
      <w:r>
        <w:t xml:space="preserve">В ходе выполнения задания был исследован смеситель на основе </w:t>
      </w:r>
      <w:r>
        <w:rPr>
          <w:lang w:val="en-US"/>
        </w:rPr>
        <w:t>FET</w:t>
      </w:r>
      <w:r>
        <w:t>-транзистора. Были продемонстрированы его основные нелиненые свойства качественно и количественно. Была исследована зависимость коэффициента усиления от входной мощности сигнала, интермодуляционные продукты и блокирование в устройстве.</w:t>
      </w:r>
      <w:r w:rsidR="00D30A6B">
        <w:t xml:space="preserve"> Было установлено, что максимум АЧХ устройства приходится на частоту порядка 6.5 ГГц. Нелинейность устройства начинает сильно проявляться при достижении уровня мощности входного сигнала порядка 22.5 дБм и мощности входной помехи порядка 20 дБм.</w:t>
      </w:r>
    </w:p>
    <w:sectPr w:rsidR="00FD10A9" w:rsidRPr="00FD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FD"/>
    <w:rsid w:val="00076D70"/>
    <w:rsid w:val="002D6F76"/>
    <w:rsid w:val="004F6FA2"/>
    <w:rsid w:val="005F3480"/>
    <w:rsid w:val="00625F65"/>
    <w:rsid w:val="006A42FD"/>
    <w:rsid w:val="00725609"/>
    <w:rsid w:val="008B568A"/>
    <w:rsid w:val="009A4E06"/>
    <w:rsid w:val="00A465FF"/>
    <w:rsid w:val="00C14F88"/>
    <w:rsid w:val="00C67A26"/>
    <w:rsid w:val="00D30A6B"/>
    <w:rsid w:val="00DB75CC"/>
    <w:rsid w:val="00DD6F57"/>
    <w:rsid w:val="00EE1B14"/>
    <w:rsid w:val="00F45718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588F"/>
  <w15:chartTrackingRefBased/>
  <w15:docId w15:val="{E2A4E462-799C-4955-B231-05A811A9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F57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8B568A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8B568A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3</cp:revision>
  <dcterms:created xsi:type="dcterms:W3CDTF">2023-05-12T14:16:00Z</dcterms:created>
  <dcterms:modified xsi:type="dcterms:W3CDTF">2023-05-12T15:17:00Z</dcterms:modified>
</cp:coreProperties>
</file>