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1584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658368" cy="1536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53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26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56"/>
              </w:rPr>
              <w:t>ECO</w:t>
            </w:r>
            <w:r>
              <w:rPr>
                <w:rFonts w:ascii="Liberation Sans" w:hAnsi="Liberation Sans" w:eastAsia="Liberation Sans"/>
                <w:b/>
                <w:color w:val="76B947"/>
                <w:sz w:val="56"/>
              </w:rPr>
              <w:t>NEXO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E766E"/>
                <w:sz w:val="17"/>
              </w:rPr>
              <w:t>EARTH INTELLIGENCE · DECISIONES AMBIENTALES TRAZABLES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984" w:hRule="atLeast"/>
        </w:trPr>
        <w:tc>
          <w:tcPr>
            <w:tcW w:type="dxa" w:w="10310"/>
            <w:shd w:fill="0B1F2A" w:val="clear"/>
            <w:tcMar>
              <w:top w:w="330" w:type="dxa"/>
              <w:start w:w="330" w:type="dxa"/>
              <w:bottom w:w="300" w:type="dxa"/>
              <w:end w:w="330" w:type="dxa"/>
            </w:tcMar>
          </w:tcPr>
          <w:p>
            <w:pPr>
              <w:spacing w:after="280"/>
            </w:pPr>
            <w:r>
              <w:rPr>
                <w:rFonts w:ascii="Liberation Sans" w:hAnsi="Liberation Sans" w:eastAsia="Liberation Sans"/>
                <w:b/>
                <w:color w:val="76B947"/>
                <w:sz w:val="20"/>
              </w:rPr>
              <w:t>MEMORANDO DE INVERSIÓN</w:t>
            </w:r>
          </w:p>
          <w:p>
            <w:pPr>
              <w:spacing w:after="240"/>
            </w:pPr>
            <w:r>
              <w:rPr>
                <w:rFonts w:ascii="Liberation Sans" w:hAnsi="Liberation Sans" w:eastAsia="Liberation Sans"/>
                <w:b/>
                <w:color w:val="FFFFFF"/>
                <w:sz w:val="68"/>
              </w:rPr>
              <w:t>EcoNexo</w:t>
            </w:r>
          </w:p>
          <w:p>
            <w:pPr>
              <w:spacing w:after="200"/>
            </w:pPr>
            <w:r>
              <w:rPr>
                <w:rFonts w:ascii="Liberation Sans" w:hAnsi="Liberation Sans" w:eastAsia="Liberation Sans"/>
                <w:b/>
                <w:color w:val="FFFFFF"/>
                <w:sz w:val="40"/>
              </w:rPr>
              <w:t>Hoja de ruta de elegibilidad para el Fondo de Impacto VELA</w:t>
            </w:r>
          </w:p>
          <w:p>
            <w:pPr>
              <w:spacing w:after="360"/>
            </w:pPr>
            <w:r>
              <w:rPr>
                <w:rFonts w:ascii="Liberation Sans" w:hAnsi="Liberation Sans" w:eastAsia="Liberation Sans"/>
                <w:b/>
                <w:color w:val="B8E08F"/>
                <w:sz w:val="28"/>
              </w:rPr>
              <w:t>Ronda puente propuesta: USD 250.000-400.000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D9E4E0"/>
                <w:sz w:val="21"/>
              </w:rPr>
              <w:t>Caso base USD 350.000 · 24 meses · desarrollo 0-1 y pilotos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528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DESTINATARIO OBJETIVO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Fondo de Impacto VELA</w:t>
            </w:r>
          </w:p>
        </w:tc>
        <w:tc>
          <w:tcPr>
            <w:tcW w:type="dxa" w:w="3311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FECHA DE CORTE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23 de julio de 2026</w:t>
            </w:r>
          </w:p>
        </w:tc>
        <w:tc>
          <w:tcPr>
            <w:tcW w:type="dxa" w:w="3470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ESTADO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Preproducción / pre-piloto</w:t>
            </w:r>
          </w:p>
        </w:tc>
      </w:tr>
      <w:tr>
        <w:tc>
          <w:tcPr>
            <w:tcW w:type="dxa" w:w="3528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ETAPA PROPUESTA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Ángel / pre-seed / seed bridge</w:t>
            </w:r>
          </w:p>
        </w:tc>
        <w:tc>
          <w:tcPr>
            <w:tcW w:type="dxa" w:w="3311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VERTICAL PRIMARIA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Biodiversidad y resiliencia</w:t>
            </w:r>
          </w:p>
        </w:tc>
        <w:tc>
          <w:tcPr>
            <w:tcW w:type="dxa" w:w="3470"/>
            <w:shd w:fill="F4F7F5" w:val="clear"/>
            <w:tcMar>
              <w:top w:w="120" w:type="dxa"/>
              <w:start w:w="125" w:type="dxa"/>
              <w:bottom w:w="120" w:type="dxa"/>
              <w:end w:w="125" w:type="dxa"/>
            </w:tcMar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pPr>
              <w:spacing w:after="40"/>
            </w:pPr>
            <w:r>
              <w:rPr>
                <w:rFonts w:ascii="Liberation Sans" w:hAnsi="Liberation Sans" w:eastAsia="Liberation Sans"/>
                <w:b/>
                <w:color w:val="0E766E"/>
                <w:sz w:val="14"/>
              </w:rPr>
              <w:t>CONFIDENCIALIDAD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B1F2A"/>
                <w:sz w:val="17"/>
              </w:rPr>
              <w:t>Documento de evaluación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ACLARACIÓN DE ELEGIBILIDAD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Las fuentes públicas de VELA indican que las empresas buscadas deben estar en Serie A o posterior. EcoNexo se presenta aquí como oportunidad futura y utiliza USD 250-400 mil como ronda puente para alcanzar esa etapa; no se afirma que VELA haya publicado ese ticket ni una categoría “Serie D”.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01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Decisión de inversión recomendada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EcoNexo puede ser una tesis de impacto atractiva, pero la ronda inmediata debe cerrar el salto entre prototipo y empresa Series A-ready.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shd w:fill="DDEEEB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0E766E"/>
                <w:sz w:val="32"/>
              </w:rPr>
              <w:t>USD 350k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caso base recomendado</w:t>
            </w:r>
          </w:p>
        </w:tc>
        <w:tc>
          <w:tcPr>
            <w:tcW w:type="dxa" w:w="2577"/>
            <w:shd w:fill="E4F0F6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246B8E"/>
                <w:sz w:val="32"/>
              </w:rPr>
              <w:t>24 meses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runway de ejecución</w:t>
            </w:r>
          </w:p>
        </w:tc>
        <w:tc>
          <w:tcPr>
            <w:tcW w:type="dxa" w:w="2577"/>
            <w:shd w:fill="E8F3E1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78A22"/>
                <w:sz w:val="32"/>
              </w:rPr>
              <w:t>3 pilotos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prueba comercial mínima</w:t>
            </w:r>
          </w:p>
        </w:tc>
        <w:tc>
          <w:tcPr>
            <w:tcW w:type="dxa" w:w="2577"/>
            <w:shd w:fill="FFF0D9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D97706"/>
                <w:sz w:val="32"/>
              </w:rPr>
              <w:t>Serie A+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umbral VELA publicado</w:t>
            </w:r>
          </w:p>
        </w:tc>
      </w:tr>
    </w:tbl>
    <w:p>
      <w:pPr>
        <w:spacing w:after="20"/>
      </w:pPr>
    </w:p>
    <w:p>
      <w:pPr>
        <w:pStyle w:val="Heading2"/>
      </w:pPr>
      <w:r>
        <w:t>Recomendación</w:t>
      </w:r>
    </w:p>
    <w:p>
      <w:r>
        <w:rPr>
          <w:rFonts w:ascii="Liberation Sans" w:hAnsi="Liberation Sans" w:eastAsia="Liberation Sans"/>
          <w:i w:val="0"/>
          <w:color w:val="1D2A30"/>
          <w:sz w:val="20"/>
        </w:rPr>
        <w:t>Estructurar una ronda puente ángel/pre-seed/seed de USD 250.000 a USD 400.000, con USD 350.000 como caso base, destinada a industrializar el prototipo, desplegar tres pilotos medibles y construir evidencia comercial, financiera, jurídica y de impacto. VELA debe tratarse como inversor objetivo posterior, no como fuente inmediata confirmada.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0B1F2A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TESIS EN UNA FRASE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FFFFFF"/>
                <w:sz w:val="19"/>
              </w:rPr>
              <w:t>EcoNexo convierte señales ambientales fragmentadas en decisiones operativas priorizadas, trazables e informables; el capital propuesto financia el paso de demo técnica a producto confiable con clientes y evidencia.</w:t>
            </w:r>
          </w:p>
        </w:tc>
      </w:tr>
    </w:tbl>
    <w:p>
      <w:pPr>
        <w:spacing w:after="20"/>
      </w:pPr>
    </w:p>
    <w:p>
      <w:pPr>
        <w:pStyle w:val="Heading2"/>
      </w:pPr>
      <w:r>
        <w:t>Qué ya existe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Prototipo funcional con Next.js, FastAPI, PostgreSQL/PostGIS, MQTT, servicios de anomalías y procesamiento satelital.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Separación multiorganización, dashboard, reglas, alertas, reportes ciudadanos, almacenamiento de evidencias e informes institucionales.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Login y registro con Google verificado del lado servidor, controles de acceso y endurecimiento de endpoints internos.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Docker/Kubernetes, páginas legales, documentación de producción y 17 pruebas de API aprobadas más TypeScript sin errores.</w:t>
      </w:r>
    </w:p>
    <w:p>
      <w:pPr>
        <w:pStyle w:val="Heading2"/>
      </w:pPr>
      <w:r>
        <w:t>Qué todavía no está probado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Tracción: contratos, ingresos recurrentes, retención y referencias de clientes.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Impacto: baseline, atribución, precisión de alertas y reducción real de tiempos/daños.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Economía: ACV aceptado, costo de instalación, soporte, CAC, margen y ciclo de compra pública/privada.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Equipo y estructura: fundadores, dedicación, cap table, IP, sociedad, gobierno y plan de contratación.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B42318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DE7E5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>CONDICIÓN DE AVANCE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No enviar el formulario de VELA como candidatura elegible hasta cumplir la etapa publicada o recibir una invitación explícita de la gestora. Sí puede utilizarse este memo para una conversación de pre-screening y para pedir orientación sobre hitos.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02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Encaje con VELA y brecha de elegibilidad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La tesis ambiental encaja; la madurez actual 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pStyle w:val="Heading2"/>
      </w:pPr>
      <w:r>
        <w:t>Lo publicado por VELA al 23 de julio de 2026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Vehículo anclado por CAF y gestionado por Sonen Capital en alianza con Fondo de Fondos.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Objetivo de movilización: USD 100-150 millones hacia oportunidades de alto crecimiento e impacto medible en América Latina y el Caribe.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Sectores: agricultura regenerativa/sistemas alimentarios, economía azul, biodiversidad, reducción de pobreza e inclusión financiera.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Para empresas: etapa de crecimiento, Serie A en adelante. El envío de información no garantiza revisión, contacto ni inversión.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51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51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84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Lectura EcoNexo</w:t>
            </w:r>
          </w:p>
        </w:tc>
      </w:tr>
      <w:tr>
        <w:trPr>
          <w:cantSplit/>
        </w:trPr>
        <w:tc>
          <w:tcPr>
            <w:tcW w:type="dxa" w:w="2951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Operación en América Latina y el Caribe</w:t>
            </w:r>
          </w:p>
        </w:tc>
        <w:tc>
          <w:tcPr>
            <w:tcW w:type="dxa" w:w="1512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Sí</w:t>
            </w:r>
          </w:p>
        </w:tc>
        <w:tc>
          <w:tcPr>
            <w:tcW w:type="dxa" w:w="5846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Misiones/Argentina como punto de entrada regional.</w:t>
            </w:r>
          </w:p>
        </w:tc>
      </w:tr>
      <w:tr>
        <w:trPr>
          <w:cantSplit/>
        </w:trPr>
        <w:tc>
          <w:tcPr>
            <w:tcW w:type="dxa" w:w="2951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Sector objetivo</w:t>
            </w:r>
          </w:p>
        </w:tc>
        <w:tc>
          <w:tcPr>
            <w:tcW w:type="dxa" w:w="1512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Sí / alto</w:t>
            </w:r>
          </w:p>
        </w:tc>
        <w:tc>
          <w:tcPr>
            <w:tcW w:type="dxa" w:w="5846"/>
            <w:shd w:fill="E8F3E1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Biodiversidad y gestión de recursos naturales; posible extensión a agricultura regenerativa.</w:t>
            </w:r>
          </w:p>
        </w:tc>
      </w:tr>
      <w:tr>
        <w:trPr>
          <w:cantSplit/>
        </w:trPr>
        <w:tc>
          <w:tcPr>
            <w:tcW w:type="dxa" w:w="2951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Alto potencial de crecimiento</w:t>
            </w:r>
          </w:p>
        </w:tc>
        <w:tc>
          <w:tcPr>
            <w:tcW w:type="dxa" w:w="1512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Por demostrar</w:t>
            </w:r>
          </w:p>
        </w:tc>
        <w:tc>
          <w:tcPr>
            <w:tcW w:type="dxa" w:w="5846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Arquitectura escalable; faltan clientes, repetibilidad y unit economics.</w:t>
            </w:r>
          </w:p>
        </w:tc>
      </w:tr>
      <w:tr>
        <w:trPr>
          <w:cantSplit/>
        </w:trPr>
        <w:tc>
          <w:tcPr>
            <w:tcW w:type="dxa" w:w="2951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Impacto significativo y medible</w:t>
            </w:r>
          </w:p>
        </w:tc>
        <w:tc>
          <w:tcPr>
            <w:tcW w:type="dxa" w:w="1512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Diseñado / no validado</w:t>
            </w:r>
          </w:p>
        </w:tc>
        <w:tc>
          <w:tcPr>
            <w:tcW w:type="dxa" w:w="5846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Métricas y trazabilidad existen; faltan baseline y verificación independiente.</w:t>
            </w:r>
          </w:p>
        </w:tc>
      </w:tr>
      <w:tr>
        <w:trPr>
          <w:cantSplit/>
        </w:trPr>
        <w:tc>
          <w:tcPr>
            <w:tcW w:type="dxa" w:w="2951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Etapa Serie A o posterior</w:t>
            </w:r>
          </w:p>
        </w:tc>
        <w:tc>
          <w:tcPr>
            <w:tcW w:type="dxa" w:w="1512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</w:t>
            </w:r>
          </w:p>
        </w:tc>
        <w:tc>
          <w:tcPr>
            <w:tcW w:type="dxa" w:w="5846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EcoNexo está en preproducción y pre-piloto.</w:t>
            </w:r>
          </w:p>
        </w:tc>
      </w:tr>
      <w:tr>
        <w:trPr>
          <w:cantSplit/>
        </w:trPr>
        <w:tc>
          <w:tcPr>
            <w:tcW w:type="dxa" w:w="2951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Gobernanza y rendición de cuentas</w:t>
            </w:r>
          </w:p>
        </w:tc>
        <w:tc>
          <w:tcPr>
            <w:tcW w:type="dxa" w:w="1512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Parcial</w:t>
            </w:r>
          </w:p>
        </w:tc>
        <w:tc>
          <w:tcPr>
            <w:tcW w:type="dxa" w:w="5846"/>
            <w:shd w:fill="FFF0D9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Controles técnicos y reportes; faltan sociedad, board y políticas aprobadas.</w:t>
            </w:r>
          </w:p>
        </w:tc>
      </w:tr>
      <w:tr>
        <w:trPr>
          <w:cantSplit/>
        </w:trPr>
        <w:tc>
          <w:tcPr>
            <w:tcW w:type="dxa" w:w="2951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Ticket USD 250-400 mil publicado</w:t>
            </w:r>
          </w:p>
        </w:tc>
        <w:tc>
          <w:tcPr>
            <w:tcW w:type="dxa" w:w="1512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identificado</w:t>
            </w:r>
          </w:p>
        </w:tc>
        <w:tc>
          <w:tcPr>
            <w:tcW w:type="dxa" w:w="5846"/>
            <w:shd w:fill="FDE7E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Debe confirmarse con la gestora; no aparece en los criterios públicos.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ACLARACIÓN SOBRE “SERIE D”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Una Serie D corresponde a una empresa tardía y no es compatible con un desarrollo 0-1. VELA no publica una categoría “Serie D”; el criterio visible es Serie A en adelante. Este documento corrige esa inconsistencia para proteger la credibilidad de la presentación.</w:t>
            </w:r>
          </w:p>
        </w:tc>
      </w:tr>
    </w:tbl>
    <w:p>
      <w:pPr>
        <w:spacing w:after="20"/>
      </w:pPr>
    </w:p>
    <w:p>
      <w:pPr>
        <w:pStyle w:val="Heading2"/>
      </w:pPr>
      <w:r>
        <w:t>Ruta de acceso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Ahora · ronda puente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Ángeles, clubes seed, grants competitivos, corporativos o family offices para financiar pilotos y organización.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12-18 meses · validación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Pilotos pagos, conversión, métricas de impacto, data room y señales de repetibilidad.</w:t>
            </w:r>
          </w:p>
        </w:tc>
      </w:tr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18-24 meses · Series A-ready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Ingresos recurrentes, pipeline, márgenes, equipo y gobierno compatibles con capital institucional.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Luego · VELA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Aplicación o introducción a la gestora con etapa y evidencia alineadas a sus criterios públicos.</w:t>
            </w:r>
          </w:p>
        </w:tc>
      </w:tr>
    </w:tbl>
    <w:p>
      <w:pPr>
        <w:spacing w:after="20"/>
      </w:pP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03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Problema y oportunidad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Los datos existen; el cuello de botella es convertirlos en una decisión verificable a tiempo.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Señales fragmentadas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Sensores, satélite, clima, llamadas y ciudadanía operan en sistemas separados y con semánticas distintas.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Respuesta tardía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Una señal sin prioridad, responsable y protocolo aumenta la demora y el costo de coordinar.</w:t>
            </w:r>
          </w:p>
        </w:tc>
      </w:tr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Evidencia incompleta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Sin trazabilidad de fuente, timestamps, decisión y cierre, cuesta auditar, aprender o reclamar.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Reporte manual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Municipios, empresas y programas deben reconstruir indicadores para directorios, aseguradoras, financiadores y organismos.</w:t>
            </w:r>
          </w:p>
        </w:tc>
      </w:tr>
    </w:tbl>
    <w:p>
      <w:pPr>
        <w:spacing w:after="20"/>
      </w:pPr>
    </w:p>
    <w:p>
      <w:pPr>
        <w:pStyle w:val="Heading2"/>
      </w:pPr>
      <w:r>
        <w:t>Casos de uso de entrada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3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Vertical</w:t>
            </w:r>
          </w:p>
        </w:tc>
        <w:tc>
          <w:tcPr>
            <w:tcW w:type="dxa" w:w="46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Eventos iniciales</w:t>
            </w:r>
          </w:p>
        </w:tc>
        <w:tc>
          <w:tcPr>
            <w:tcW w:type="dxa" w:w="339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Compradores/usuarios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7"/>
              </w:rPr>
              <w:t>Bosques y biodiversidad</w:t>
            </w:r>
          </w:p>
        </w:tc>
        <w:tc>
          <w:tcPr>
            <w:tcW w:type="dxa" w:w="46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Foco térmico, humo, intrusión, sequía, pérdida de cobertura</w:t>
            </w:r>
          </w:p>
        </w:tc>
        <w:tc>
          <w:tcPr>
            <w:tcW w:type="dxa" w:w="33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Forestales, reservas, gobiernos, aseguradoras</w:t>
            </w:r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7"/>
              </w:rPr>
              <w:t>Municipio y territorio</w:t>
            </w:r>
          </w:p>
        </w:tc>
        <w:tc>
          <w:tcPr>
            <w:tcW w:type="dxa" w:w="46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Microbasurales, inundación, calidad ambiental, reclamos</w:t>
            </w:r>
          </w:p>
        </w:tc>
        <w:tc>
          <w:tcPr>
            <w:tcW w:type="dxa" w:w="33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Municipios, concesionarios, programas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7"/>
              </w:rPr>
              <w:t>Energía e infraestructura</w:t>
            </w:r>
          </w:p>
        </w:tc>
        <w:tc>
          <w:tcPr>
            <w:tcW w:type="dxa" w:w="46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Metano, temperatura, vibración, incendio, zonas críticas</w:t>
            </w:r>
          </w:p>
        </w:tc>
        <w:tc>
          <w:tcPr>
            <w:tcW w:type="dxa" w:w="33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Energía, utilities, obra e industria</w:t>
            </w:r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7"/>
              </w:rPr>
              <w:t>Agro y sistemas alimentarios</w:t>
            </w:r>
          </w:p>
        </w:tc>
        <w:tc>
          <w:tcPr>
            <w:tcW w:type="dxa" w:w="46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Riesgo climático, suelo, agua, incendios y trazabilidad</w:t>
            </w:r>
          </w:p>
        </w:tc>
        <w:tc>
          <w:tcPr>
            <w:tcW w:type="dxa" w:w="33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7"/>
              </w:rPr>
              <w:t>Productores, cooperativas, cadenas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246B8E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4F0F6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46B8E"/>
                <w:sz w:val="17"/>
              </w:rPr>
              <w:t>HIPÓTESIS COMERCIAL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El primer valor vendible no es “más datos”, sino menor tiempo de detección/respuesta, evidencia compartible y una operación auditable. La propuesta debe venderse por resultado y riesgo evitado, no por cantidad de sensores.</w:t>
            </w:r>
          </w:p>
        </w:tc>
      </w:tr>
    </w:tbl>
    <w:p>
      <w:pPr>
        <w:spacing w:after="20"/>
      </w:pPr>
    </w:p>
    <w:p>
      <w:pPr>
        <w:pStyle w:val="Heading2"/>
      </w:pPr>
      <w:r>
        <w:t>Qué significa desarrollo 0-1</w:t>
      </w:r>
    </w:p>
    <w:p>
      <w:r>
        <w:rPr>
          <w:rFonts w:ascii="Liberation Sans" w:hAnsi="Liberation Sans" w:eastAsia="Liberation Sans"/>
          <w:i w:val="0"/>
          <w:color w:val="1D2A30"/>
          <w:sz w:val="20"/>
        </w:rPr>
        <w:t>Aunque existe un repositorio funcional, el uso de fondos se modela como desarrollo 0-1 porque faltan despliegue productivo, confiabilidad de campo, integraciones, pilotos, soporte, seguridad operativa, contratos y validación de mercado. El código reduce riesgo técnico inicial, pero no reemplaza esos hitos.</w:t>
      </w: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04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Solución y arquitectura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Una capa de inteligencia operacional entre señales ambientales y equipos de respuesta.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57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Flujo de valor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Observar: recibe telemetría IoT, fuentes satelitales, clima y reportes ciudadanos.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Correlacionar: normaliza señales, aplica geoespacialidad, reglas, contexto y puntajes de anomalía.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Priorizar: genera alertas con severidad, confianza, evidencia y responsables.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Actuar: confirma, deriva, cierra y conserva trazabilidad del incidente.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Comunicar: genera informes para organizaciones/PO, exportables y con enlaces revocables.</w:t>
      </w:r>
    </w:p>
    <w:p>
      <w:pPr>
        <w:pStyle w:val="Heading2"/>
      </w:pPr>
      <w:r>
        <w:t>Estado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52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08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70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Acceso y organizaciones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Implementado</w:t>
            </w:r>
          </w:p>
        </w:tc>
        <w:tc>
          <w:tcPr>
            <w:tcW w:type="dxa" w:w="570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Google + email, alta de organización, rol admin y separación por org.</w:t>
            </w:r>
          </w:p>
        </w:tc>
      </w:tr>
      <w:tr>
        <w:trPr>
          <w:cantSplit/>
        </w:trPr>
        <w:tc>
          <w:tcPr>
            <w:tcW w:type="dxa" w:w="252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Alertas y mapa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Implementado</w:t>
            </w:r>
          </w:p>
        </w:tc>
        <w:tc>
          <w:tcPr>
            <w:tcW w:type="dxa" w:w="570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Dashboard, feed, reglas, fuentes y geolocalización.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Reportes ciudadanos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Implementado / endurecido</w:t>
            </w:r>
          </w:p>
        </w:tc>
        <w:tc>
          <w:tcPr>
            <w:tcW w:type="dxa" w:w="570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Consentimiento, ubicación explícita, token firmado y fotos limitadas.</w:t>
            </w:r>
          </w:p>
        </w:tc>
      </w:tr>
      <w:tr>
        <w:trPr>
          <w:cantSplit/>
        </w:trPr>
        <w:tc>
          <w:tcPr>
            <w:tcW w:type="dxa" w:w="252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Informes institucionales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Implementado</w:t>
            </w:r>
          </w:p>
        </w:tc>
        <w:tc>
          <w:tcPr>
            <w:tcW w:type="dxa" w:w="570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Período, destinatario PO, métricas, PDF/CSV, enlace revocable.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Producción de campo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Pendiente</w:t>
            </w:r>
          </w:p>
        </w:tc>
        <w:tc>
          <w:tcPr>
            <w:tcW w:type="dxa" w:w="570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Pilotos, observabilidad, SLA, hardware, soporte y calibración.</w:t>
            </w:r>
          </w:p>
        </w:tc>
      </w:tr>
      <w:tr>
        <w:trPr>
          <w:cantSplit/>
        </w:trPr>
        <w:tc>
          <w:tcPr>
            <w:tcW w:type="dxa" w:w="252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Modelo de impacto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Pendiente de validación</w:t>
            </w:r>
          </w:p>
        </w:tc>
        <w:tc>
          <w:tcPr>
            <w:tcW w:type="dxa" w:w="570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Métricas diseñadas; falta baseline, atribución y verificación.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05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Mercado y estrategia de entrada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Un modelo bottom-up para orientar la ejecución; no sustituye un estudio de mercado independiente.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pStyle w:val="Heading2"/>
      </w:pPr>
      <w:r>
        <w:t>Modelo de oportunidad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94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172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Cuentas supuestas</w:t>
            </w:r>
          </w:p>
        </w:tc>
        <w:tc>
          <w:tcPr>
            <w:tcW w:type="dxa" w:w="151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ACV supuesto</w:t>
            </w:r>
          </w:p>
        </w:tc>
        <w:tc>
          <w:tcPr>
            <w:tcW w:type="dxa" w:w="151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ARR potencial</w:t>
            </w:r>
          </w:p>
        </w:tc>
        <w:tc>
          <w:tcPr>
            <w:tcW w:type="dxa" w:w="361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Beachhead · NEA/sectores cercanos</w:t>
            </w:r>
          </w:p>
        </w:tc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30 cuentas</w:t>
            </w:r>
          </w:p>
        </w:tc>
        <w:tc>
          <w:tcPr>
            <w:tcW w:type="dxa" w:w="151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$30k</w:t>
            </w:r>
          </w:p>
        </w:tc>
        <w:tc>
          <w:tcPr>
            <w:tcW w:type="dxa" w:w="151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0,9M</w:t>
            </w:r>
          </w:p>
        </w:tc>
        <w:tc>
          <w:tcPr>
            <w:tcW w:type="dxa" w:w="361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Pilotos y ventas directas con socios locales.</w:t>
            </w:r>
          </w:p>
        </w:tc>
      </w:tr>
      <w:tr>
        <w:trPr>
          <w:cantSplit/>
        </w:trPr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Argentina</w:t>
            </w:r>
          </w:p>
        </w:tc>
        <w:tc>
          <w:tcPr>
            <w:tcW w:type="dxa" w:w="17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250 cuentas</w:t>
            </w:r>
          </w:p>
        </w:tc>
        <w:tc>
          <w:tcPr>
            <w:tcW w:type="dxa" w:w="151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$35k</w:t>
            </w:r>
          </w:p>
        </w:tc>
        <w:tc>
          <w:tcPr>
            <w:tcW w:type="dxa" w:w="151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8,75M</w:t>
            </w:r>
          </w:p>
        </w:tc>
        <w:tc>
          <w:tcPr>
            <w:tcW w:type="dxa" w:w="361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Municipios, forestales, energía, seguros y programas.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Expansión LAC</w:t>
            </w:r>
          </w:p>
        </w:tc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2.000 cuentas</w:t>
            </w:r>
          </w:p>
        </w:tc>
        <w:tc>
          <w:tcPr>
            <w:tcW w:type="dxa" w:w="151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$40k</w:t>
            </w:r>
          </w:p>
        </w:tc>
        <w:tc>
          <w:tcPr>
            <w:tcW w:type="dxa" w:w="151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80M</w:t>
            </w:r>
          </w:p>
        </w:tc>
        <w:tc>
          <w:tcPr>
            <w:tcW w:type="dxa" w:w="361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Canales, integradores y fondos/organismos regionales.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SUPUESTOS, NO HECHOS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Cantidad de cuentas, ACV y ARR son parámetros de planificación. Deben reemplazarse por una segmentación verificable, entrevistas, presupuestos, contratos y datos de compras por vertical.</w:t>
            </w:r>
          </w:p>
        </w:tc>
      </w:tr>
    </w:tbl>
    <w:p>
      <w:pPr>
        <w:spacing w:after="20"/>
      </w:pPr>
    </w:p>
    <w:p>
      <w:pPr>
        <w:pStyle w:val="Heading2"/>
      </w:pPr>
      <w:r>
        <w:t>Por qué iniciar en Misiones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El contexto permite validar biodiversidad, bosque, municipio, agro y conectividad en un territorio acotado.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Silicon Misiones declara incubación, aceleración, mentorías, acceso a financiamiento e integración con empresas e inversores.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Posadas Startup 2026 trabaja modelo de negocio, financiamiento, inversión, aspectos legales y escalamiento.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Fondo de Crédito Misiones/MADE ofrece aceleración, asistencia técnica, coworking y vinculaciones estratégicas.</w:t>
      </w:r>
    </w:p>
    <w:p>
      <w:pPr>
        <w:pStyle w:val="Heading2"/>
      </w:pPr>
      <w:r>
        <w:t>Estrategia de venta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1. Diagnóstico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Evento prioritario, baseline, buyer, presupuesto y protocolo.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2. Piloto pago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8-12 semanas, alcance acotado y criterios de éxito firmados.</w:t>
            </w:r>
          </w:p>
        </w:tc>
      </w:tr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3. Evidencia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Reporte ejecutivo, casos, ahorro/tiempo y riesgos aprendidos.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4. Conversión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Contrato anual de plataforma + operación/hardware.</w:t>
            </w:r>
          </w:p>
        </w:tc>
      </w:tr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5. Expansión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Más zonas, dispositivos, verticales e integraciones.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6. Canal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Integradores, aseguradoras, corporativos y programas regionales.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06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Modelo de negocio y pricing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Software recurrente más implementación, hardware y servicios de alto valor.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23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Oferta</w:t>
            </w:r>
          </w:p>
        </w:tc>
        <w:tc>
          <w:tcPr>
            <w:tcW w:type="dxa" w:w="194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Rango ilustrativo</w:t>
            </w:r>
          </w:p>
        </w:tc>
        <w:tc>
          <w:tcPr>
            <w:tcW w:type="dxa" w:w="172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440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Incluye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Piloto de validación</w:t>
            </w:r>
          </w:p>
        </w:tc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15k-25k</w:t>
            </w:r>
          </w:p>
        </w:tc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8-12 semanas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Baseline, integración limitada, entrenamiento e informe.</w:t>
            </w:r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Plataforma anual</w:t>
            </w:r>
          </w:p>
        </w:tc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24k-60k</w:t>
            </w:r>
          </w:p>
        </w:tc>
        <w:tc>
          <w:tcPr>
            <w:tcW w:type="dxa" w:w="17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12 meses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Usuarios, zonas, alertas, reglas, dashboard e informes.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Implementación/hardware</w:t>
            </w:r>
          </w:p>
        </w:tc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5k-20k</w:t>
            </w:r>
          </w:p>
        </w:tc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Inicial / expansión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Sensores, instalación, conectividad e integración.</w:t>
            </w:r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Impacto/SLA/integraciones</w:t>
            </w:r>
          </w:p>
        </w:tc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10k-30k</w:t>
            </w:r>
          </w:p>
        </w:tc>
        <w:tc>
          <w:tcPr>
            <w:tcW w:type="dxa" w:w="17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Anual o proyecto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SLA, API, reporting, auditoría y soporte premium.</w:t>
            </w:r>
          </w:p>
        </w:tc>
      </w:tr>
    </w:tbl>
    <w:p>
      <w:pPr>
        <w:spacing w:after="20"/>
      </w:pPr>
    </w:p>
    <w:p>
      <w:pPr>
        <w:pStyle w:val="Heading2"/>
      </w:pPr>
      <w:r>
        <w:t>Principios económicos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Separar hardware e instalación para no ocultar el margen SaaS.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Cobrar pilotos: un piloto gratuito no valida presupuesto ni urgencia.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Definir límites por zonas, dispositivos, usuarios, retención, soporte e informes.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Estandarizar la implementación para bajar costo y ciclo de despliegue.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Medir margen por vertical y no escalar un caso con soporte artesanal permanente.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shd w:fill="FFF0D9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D97706"/>
                <w:sz w:val="32"/>
              </w:rPr>
              <w:t>55%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margen bruto Año 1 · modelo</w:t>
            </w:r>
          </w:p>
        </w:tc>
        <w:tc>
          <w:tcPr>
            <w:tcW w:type="dxa" w:w="2577"/>
            <w:shd w:fill="E4F0F6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246B8E"/>
                <w:sz w:val="32"/>
              </w:rPr>
              <w:t>68%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margen bruto Año 2 · modelo</w:t>
            </w:r>
          </w:p>
        </w:tc>
        <w:tc>
          <w:tcPr>
            <w:tcW w:type="dxa" w:w="2577"/>
            <w:shd w:fill="E8F3E1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78A22"/>
                <w:sz w:val="32"/>
              </w:rPr>
              <w:t>74%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margen bruto Año 3 · modelo</w:t>
            </w:r>
          </w:p>
        </w:tc>
        <w:tc>
          <w:tcPr>
            <w:tcW w:type="dxa" w:w="2577"/>
            <w:shd w:fill="DDEEEB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0E766E"/>
                <w:sz w:val="32"/>
              </w:rPr>
              <w:t>$24-60k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ACV plataforma supuesto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246B8E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4F0F6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46B8E"/>
                <w:sz w:val="17"/>
              </w:rPr>
              <w:t>HIPÓTESIS CRÍTICA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El modelo sólo funciona si EcoNexo transforma pilotos intensivos en una configuración repetible y una renovación anual. La tasa de conversión piloto→contrato y el costo de soporte son las dos métricas comerciales centrales.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07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Ronda y uso de fondos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Tres escenarios permiten ajustar alcance sin perder la lógica de hitos.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30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Partida</w:t>
            </w:r>
          </w:p>
        </w:tc>
        <w:tc>
          <w:tcPr>
            <w:tcW w:type="dxa" w:w="10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Lean</w:t>
            </w:r>
          </w:p>
        </w:tc>
        <w:tc>
          <w:tcPr>
            <w:tcW w:type="dxa" w:w="10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Base</w:t>
            </w:r>
          </w:p>
        </w:tc>
        <w:tc>
          <w:tcPr>
            <w:tcW w:type="dxa" w:w="10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Escala</w:t>
            </w:r>
          </w:p>
        </w:tc>
        <w:tc>
          <w:tcPr>
            <w:tcW w:type="dxa" w:w="476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Producto y equipo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$95k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$135k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$150k</w:t>
            </w:r>
          </w:p>
        </w:tc>
        <w:tc>
          <w:tcPr>
            <w:tcW w:type="dxa" w:w="47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Backend/frontend, producto, QA, DevOps y diseño.</w:t>
            </w:r>
          </w:p>
        </w:tc>
      </w:tr>
      <w:tr>
        <w:trPr>
          <w:cantSplit/>
        </w:trPr>
        <w:tc>
          <w:tcPr>
            <w:tcW w:type="dxa" w:w="230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Datos e IA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$45k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$65k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$75k</w:t>
            </w:r>
          </w:p>
        </w:tc>
        <w:tc>
          <w:tcPr>
            <w:tcW w:type="dxa" w:w="47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Calidad, modelos, evaluación, geoespacial y MLOps.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Pilotos + hardware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$40k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$55k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$65k</w:t>
            </w:r>
          </w:p>
        </w:tc>
        <w:tc>
          <w:tcPr>
            <w:tcW w:type="dxa" w:w="47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Sensores, instalación, conectividad, viajes y soporte.</w:t>
            </w:r>
          </w:p>
        </w:tc>
      </w:tr>
      <w:tr>
        <w:trPr>
          <w:cantSplit/>
        </w:trPr>
        <w:tc>
          <w:tcPr>
            <w:tcW w:type="dxa" w:w="230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Seguridad + legal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$20k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$25k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$30k</w:t>
            </w:r>
          </w:p>
        </w:tc>
        <w:tc>
          <w:tcPr>
            <w:tcW w:type="dxa" w:w="47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Contratos, privacidad, pentest, seguros y cumplimiento.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Go-to-market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$35k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$40k</w:t>
            </w:r>
          </w:p>
        </w:tc>
        <w:tc>
          <w:tcPr>
            <w:tcW w:type="dxa" w:w="47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Ventas, alianzas, material, eventos y customer success.</w:t>
            </w:r>
          </w:p>
        </w:tc>
      </w:tr>
      <w:tr>
        <w:trPr>
          <w:cantSplit/>
        </w:trPr>
        <w:tc>
          <w:tcPr>
            <w:tcW w:type="dxa" w:w="230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Cloud + operaciones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$15k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$20k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$25k</w:t>
            </w:r>
          </w:p>
        </w:tc>
        <w:tc>
          <w:tcPr>
            <w:tcW w:type="dxa" w:w="47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Infraestructura, monitoreo, backups y herramientas.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Contingencia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$10k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$15k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$15k</w:t>
            </w:r>
          </w:p>
        </w:tc>
        <w:tc>
          <w:tcPr>
            <w:tcW w:type="dxa" w:w="47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FX, hardware, plazos y desvíos.</w:t>
            </w:r>
          </w:p>
        </w:tc>
      </w:tr>
      <w:tr>
        <w:trPr>
          <w:cantSplit/>
        </w:trPr>
        <w:tc>
          <w:tcPr>
            <w:tcW w:type="dxa" w:w="2304"/>
            <w:shd w:fill="DDEEEB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TOTAL</w:t>
            </w:r>
          </w:p>
        </w:tc>
        <w:tc>
          <w:tcPr>
            <w:tcW w:type="dxa" w:w="1080"/>
            <w:shd w:fill="DDEEEB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$250k</w:t>
            </w:r>
          </w:p>
        </w:tc>
        <w:tc>
          <w:tcPr>
            <w:tcW w:type="dxa" w:w="1080"/>
            <w:shd w:fill="DDEEEB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$350k</w:t>
            </w:r>
          </w:p>
        </w:tc>
        <w:tc>
          <w:tcPr>
            <w:tcW w:type="dxa" w:w="1080"/>
            <w:shd w:fill="DDEEEB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$400k</w:t>
            </w:r>
          </w:p>
        </w:tc>
        <w:tc>
          <w:tcPr>
            <w:tcW w:type="dxa" w:w="4766"/>
            <w:shd w:fill="DDEEEB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24 meses; priorización por hitos.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26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2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>Asignación del caso base. Cifras en miles de USD y sujetas a cotización, estructura del equipo e impuestos.</w:t>
      </w:r>
      <w:r>
        <w:rPr>
          <w:rFonts w:ascii="Liberation Sans" w:hAnsi="Liberation Sans" w:eastAsia="Liberation Sans"/>
          <w:i/>
          <w:color w:val="53636D"/>
          <w:sz w:val="16"/>
        </w:rPr>
        <w:t>Asignación del caso base. Cifras en miles de USD y sujetas a cotización, estructura del equipo e impuestos.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DDEEEB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E766E"/>
                <w:sz w:val="17"/>
              </w:rPr>
              <w:t>CASO RECOMENDADO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USD 350.000 equilibra producto, tres pilotos y controles de confianza. USD 250.000 obliga a reducir verticales/equipo; USD 400.000 permite mayor redundancia, hardware y go-to-market sin cambiar la tesis.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08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Plan de ejecución de 24 meses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Capital liberado contra evidencia, no sólo contra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243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36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86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Meses</w:t>
            </w:r>
          </w:p>
        </w:tc>
        <w:tc>
          <w:tcPr>
            <w:tcW w:type="dxa" w:w="1655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388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Entregables</w:t>
            </w:r>
          </w:p>
        </w:tc>
        <w:tc>
          <w:tcPr>
            <w:tcW w:type="dxa" w:w="390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Gate de decisión</w:t>
            </w:r>
          </w:p>
        </w:tc>
      </w:tr>
      <w:tr>
        <w:trPr>
          <w:cantSplit/>
        </w:trPr>
        <w:tc>
          <w:tcPr>
            <w:tcW w:type="dxa" w:w="86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0-3</w:t>
            </w:r>
          </w:p>
        </w:tc>
        <w:tc>
          <w:tcPr>
            <w:tcW w:type="dxa" w:w="165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Fundación</w:t>
            </w:r>
          </w:p>
        </w:tc>
        <w:tc>
          <w:tcPr>
            <w:tcW w:type="dxa" w:w="38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Sociedad/IP; producto y seguridad; selección de pilotos</w:t>
            </w:r>
          </w:p>
        </w:tc>
        <w:tc>
          <w:tcPr>
            <w:tcW w:type="dxa" w:w="390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 LOI, owners definidos, backlog, presupuesto y arquitectura aprobados.</w:t>
            </w:r>
          </w:p>
        </w:tc>
      </w:tr>
      <w:tr>
        <w:trPr>
          <w:cantSplit/>
        </w:trPr>
        <w:tc>
          <w:tcPr>
            <w:tcW w:type="dxa" w:w="86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4-8</w:t>
            </w:r>
          </w:p>
        </w:tc>
        <w:tc>
          <w:tcPr>
            <w:tcW w:type="dxa" w:w="1655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Producto + piloto 1</w:t>
            </w:r>
          </w:p>
        </w:tc>
        <w:tc>
          <w:tcPr>
            <w:tcW w:type="dxa" w:w="38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Entorno productivo; integración; sensores; soporte</w:t>
            </w:r>
          </w:p>
        </w:tc>
        <w:tc>
          <w:tcPr>
            <w:tcW w:type="dxa" w:w="390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Ingestión ≥95%; disponibilidad piloto ≥99%; reporte aceptado.</w:t>
            </w:r>
          </w:p>
        </w:tc>
      </w:tr>
      <w:tr>
        <w:trPr>
          <w:cantSplit/>
        </w:trPr>
        <w:tc>
          <w:tcPr>
            <w:tcW w:type="dxa" w:w="86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9-14</w:t>
            </w:r>
          </w:p>
        </w:tc>
        <w:tc>
          <w:tcPr>
            <w:tcW w:type="dxa" w:w="165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Validación</w:t>
            </w:r>
          </w:p>
        </w:tc>
        <w:tc>
          <w:tcPr>
            <w:tcW w:type="dxa" w:w="38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Pilotos 2 y 3; pricing; impacto; ventas</w:t>
            </w:r>
          </w:p>
        </w:tc>
        <w:tc>
          <w:tcPr>
            <w:tcW w:type="dxa" w:w="390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3 pilotos activos/pagos; baseline; falsos positivos y tiempos medidos.</w:t>
            </w:r>
          </w:p>
        </w:tc>
      </w:tr>
      <w:tr>
        <w:trPr>
          <w:cantSplit/>
        </w:trPr>
        <w:tc>
          <w:tcPr>
            <w:tcW w:type="dxa" w:w="86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15-24</w:t>
            </w:r>
          </w:p>
        </w:tc>
        <w:tc>
          <w:tcPr>
            <w:tcW w:type="dxa" w:w="1655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Escala inicial</w:t>
            </w:r>
          </w:p>
        </w:tc>
        <w:tc>
          <w:tcPr>
            <w:tcW w:type="dxa" w:w="38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Conversión; expansión; canales; data room</w:t>
            </w:r>
          </w:p>
        </w:tc>
        <w:tc>
          <w:tcPr>
            <w:tcW w:type="dxa" w:w="390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2+ conversiones anuales, pipeline, unit economics y readiness Serie A.</w:t>
            </w:r>
          </w:p>
        </w:tc>
      </w:tr>
    </w:tbl>
    <w:p>
      <w:pPr>
        <w:spacing w:after="20"/>
      </w:pPr>
    </w:p>
    <w:p>
      <w:pPr>
        <w:pStyle w:val="Heading2"/>
      </w:pPr>
      <w:r>
        <w:t>Criterios de éxito del programa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Tres pilotos con baseline, responsables, protocolo y criterios contractuales.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Detección fuente→alerta objetivo menor a 5 minutos para eventos soportados.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Reducción objetivo de al menos 30% en tiempo de respuesta frente al baseline de cada piloto.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Calidad/continuidad de datos y tasa de confirmación reportadas con denominadores.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Al menos dos pilotos convertidos o evidencia comercial equivalente al cierre de 24 meses.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Data room jurídico, técnico, financiero y de impacto listo para ronda institucional.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NO CONFUNDIR OBJETIVO CON RESULTADO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Los valores anteriores son metas de piloto. Deben reportarse como alcanzados sólo después de medición auditada y con contexto de cobertura, definición y limitaciones.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09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Modelo financiero ilustrativo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Un caso base para dimensionar la ronda; no es un forecast ni reemplaza un presupuesto mensual.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48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_proj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48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blHeader w:val="true"/>
        </w:trPr>
        <w:tc>
          <w:tcPr>
            <w:tcW w:type="dxa" w:w="122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36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Cuentas</w:t>
            </w:r>
          </w:p>
        </w:tc>
        <w:tc>
          <w:tcPr>
            <w:tcW w:type="dxa" w:w="136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Ingresos</w:t>
            </w:r>
          </w:p>
        </w:tc>
        <w:tc>
          <w:tcPr>
            <w:tcW w:type="dxa" w:w="144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Margen bruto</w:t>
            </w:r>
          </w:p>
        </w:tc>
        <w:tc>
          <w:tcPr>
            <w:tcW w:type="dxa" w:w="136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EBITDA</w:t>
            </w:r>
          </w:p>
        </w:tc>
        <w:tc>
          <w:tcPr>
            <w:tcW w:type="dxa" w:w="354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Lectura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Año 1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3 pilotos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$60k</w:t>
            </w:r>
          </w:p>
        </w:tc>
        <w:tc>
          <w:tcPr>
            <w:tcW w:type="dxa" w:w="14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55%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-$225k</w:t>
            </w:r>
          </w:p>
        </w:tc>
        <w:tc>
          <w:tcPr>
            <w:tcW w:type="dxa" w:w="354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Desarrollo y primeros despliegues.</w:t>
            </w:r>
          </w:p>
        </w:tc>
      </w:tr>
      <w:tr>
        <w:trPr>
          <w:cantSplit/>
        </w:trPr>
        <w:tc>
          <w:tcPr>
            <w:tcW w:type="dxa" w:w="122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Año 2</w:t>
            </w:r>
          </w:p>
        </w:tc>
        <w:tc>
          <w:tcPr>
            <w:tcW w:type="dxa" w:w="136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10 clientes</w:t>
            </w:r>
          </w:p>
        </w:tc>
        <w:tc>
          <w:tcPr>
            <w:tcW w:type="dxa" w:w="136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$260k</w:t>
            </w:r>
          </w:p>
        </w:tc>
        <w:tc>
          <w:tcPr>
            <w:tcW w:type="dxa" w:w="14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68%</w:t>
            </w:r>
          </w:p>
        </w:tc>
        <w:tc>
          <w:tcPr>
            <w:tcW w:type="dxa" w:w="136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-$130k</w:t>
            </w:r>
          </w:p>
        </w:tc>
        <w:tc>
          <w:tcPr>
            <w:tcW w:type="dxa" w:w="354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Conversión y estandarización.</w:t>
            </w:r>
          </w:p>
        </w:tc>
      </w:tr>
      <w:tr>
        <w:trPr>
          <w:cantSplit/>
        </w:trPr>
        <w:tc>
          <w:tcPr>
            <w:tcW w:type="dxa" w:w="122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Año 3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25 clientes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$750k</w:t>
            </w:r>
          </w:p>
        </w:tc>
        <w:tc>
          <w:tcPr>
            <w:tcW w:type="dxa" w:w="14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74%</w:t>
            </w:r>
          </w:p>
        </w:tc>
        <w:tc>
          <w:tcPr>
            <w:tcW w:type="dxa" w:w="136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$180k</w:t>
            </w:r>
          </w:p>
        </w:tc>
        <w:tc>
          <w:tcPr>
            <w:tcW w:type="dxa" w:w="354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Break-even operativo ilustrativo.</w:t>
            </w:r>
          </w:p>
        </w:tc>
      </w:tr>
    </w:tbl>
    <w:p>
      <w:pPr>
        <w:spacing w:after="20"/>
      </w:pPr>
    </w:p>
    <w:p>
      <w:pPr>
        <w:pStyle w:val="Heading2"/>
      </w:pPr>
      <w:r>
        <w:t>Supuestos del caso base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Ingresos nominales en USD; excluyen IVA, impuestos, FX, inflación y costos de financiamiento.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Los USD 350k cubren aproximadamente el burn acumulado de Años 1-2 en este modelo, sujeto a calendario de cobros.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ACV mezcla plataforma, implementación y servicios; el hardware se presupuesta por separado.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La mejora de margen exige automatización, configuración repetible y menor soporte por cuenta.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El Año 3 requiere ventas fuera del círculo inicial y evidencia de renovación; no está garantizado.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shd w:fill="FFF0D9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D97706"/>
                <w:sz w:val="32"/>
              </w:rPr>
              <w:t>$355k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burn acumulado A1-A2</w:t>
            </w:r>
          </w:p>
        </w:tc>
        <w:tc>
          <w:tcPr>
            <w:tcW w:type="dxa" w:w="2577"/>
            <w:shd w:fill="DDEEEB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0E766E"/>
                <w:sz w:val="32"/>
              </w:rPr>
              <w:t>$750k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ingresos A3 · modelo</w:t>
            </w:r>
          </w:p>
        </w:tc>
        <w:tc>
          <w:tcPr>
            <w:tcW w:type="dxa" w:w="2577"/>
            <w:shd w:fill="E4F0F6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246B8E"/>
                <w:sz w:val="32"/>
              </w:rPr>
              <w:t>25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clientes A3 · modelo</w:t>
            </w:r>
          </w:p>
        </w:tc>
        <w:tc>
          <w:tcPr>
            <w:tcW w:type="dxa" w:w="2577"/>
            <w:shd w:fill="E8F3E1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78A22"/>
                <w:sz w:val="32"/>
              </w:rPr>
              <w:t>$180k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EBITDA A3 · modelo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B42318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DE7E5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>INFORMACIÓN FALTANTE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Para circular una proyección real deben completarse nómina, impuestos, estructura societaria, condiciones de cobro, costos de hardware/instalación, cloud por dispositivo, soporte, comisiones y escenario cambiario.</w:t>
            </w:r>
          </w:p>
        </w:tc>
      </w:tr>
    </w:tbl>
    <w:p>
      <w:pPr>
        <w:spacing w:after="20"/>
      </w:pP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10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Tesis de impacto y medición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La ventaja para VELA no es sólo detectar: es demostrar cómo una señal cambió una decisión y un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41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15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1944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24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Definición</w:t>
            </w:r>
          </w:p>
        </w:tc>
        <w:tc>
          <w:tcPr>
            <w:tcW w:type="dxa" w:w="208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03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Cautela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Tiempo de detección</w:t>
            </w:r>
          </w:p>
        </w:tc>
        <w:tc>
          <w:tcPr>
            <w:tcW w:type="dxa" w:w="32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Minutos desde fuente válida hasta alerta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Logs de fuente/API</w:t>
            </w:r>
          </w:p>
        </w:tc>
        <w:tc>
          <w:tcPr>
            <w:tcW w:type="dxa" w:w="303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Por evento y cobertura</w:t>
            </w:r>
          </w:p>
        </w:tc>
      </w:tr>
      <w:tr>
        <w:trPr>
          <w:cantSplit/>
        </w:trPr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Tiempo de respuesta</w:t>
            </w:r>
          </w:p>
        </w:tc>
        <w:tc>
          <w:tcPr>
            <w:tcW w:type="dxa" w:w="32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Minutos desde alerta hasta primera acción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Workflow/operador</w:t>
            </w:r>
          </w:p>
        </w:tc>
        <w:tc>
          <w:tcPr>
            <w:tcW w:type="dxa" w:w="303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Contra baseline del cliente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Calidad de alerta</w:t>
            </w:r>
          </w:p>
        </w:tc>
        <w:tc>
          <w:tcPr>
            <w:tcW w:type="dxa" w:w="32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Confirmadas, descartadas y sin resolución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Cierre humano</w:t>
            </w:r>
          </w:p>
        </w:tc>
        <w:tc>
          <w:tcPr>
            <w:tcW w:type="dxa" w:w="303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 denominador y severidad</w:t>
            </w:r>
          </w:p>
        </w:tc>
      </w:tr>
      <w:tr>
        <w:trPr>
          <w:cantSplit/>
        </w:trPr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Cobertura operativa</w:t>
            </w:r>
          </w:p>
        </w:tc>
        <w:tc>
          <w:tcPr>
            <w:tcW w:type="dxa" w:w="32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Área, nodos, fuentes y horas disponibles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Inventario/telemetría</w:t>
            </w:r>
          </w:p>
        </w:tc>
        <w:tc>
          <w:tcPr>
            <w:tcW w:type="dxa" w:w="303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equivale a impacto por sí sola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Incidentes mitigados</w:t>
            </w:r>
          </w:p>
        </w:tc>
        <w:tc>
          <w:tcPr>
            <w:tcW w:type="dxa" w:w="32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Eventos con acción y resultado documentado</w:t>
            </w:r>
          </w:p>
        </w:tc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Evidencia del cliente</w:t>
            </w:r>
          </w:p>
        </w:tc>
        <w:tc>
          <w:tcPr>
            <w:tcW w:type="dxa" w:w="303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Requiere reglas de atribución</w:t>
            </w:r>
          </w:p>
        </w:tc>
      </w:tr>
      <w:tr>
        <w:trPr>
          <w:cantSplit/>
        </w:trPr>
        <w:tc>
          <w:tcPr>
            <w:tcW w:type="dxa" w:w="1944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Personas/activos protegidos</w:t>
            </w:r>
          </w:p>
        </w:tc>
        <w:tc>
          <w:tcPr>
            <w:tcW w:type="dxa" w:w="32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Exposición relevante bajo protocolo</w:t>
            </w:r>
          </w:p>
        </w:tc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GIS + cliente</w:t>
            </w:r>
          </w:p>
        </w:tc>
        <w:tc>
          <w:tcPr>
            <w:tcW w:type="dxa" w:w="303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Evitar doble conteo</w:t>
            </w:r>
          </w:p>
        </w:tc>
      </w:tr>
    </w:tbl>
    <w:p>
      <w:pPr>
        <w:spacing w:after="20"/>
      </w:pPr>
    </w:p>
    <w:p>
      <w:pPr>
        <w:pStyle w:val="Heading2"/>
      </w:pPr>
      <w:r>
        <w:t>Principios de integridad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Línea base antes del piloto y comparación consistente después.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Separar outputs (alertas, nodos, reportes) de outcomes (respuesta, daño evitado).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No atribuir a EcoNexo cambios causados por clima, inversión física u otros programas sin método.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Documentar cobertura, periodos sin datos, falsos positivos, cambios de definición y revisión humana.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Verificación independiente para métricas materiales de fondos o claims públicos.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8F3E1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76B947"/>
                <w:sz w:val="17"/>
              </w:rPr>
              <w:t>ALINEACIÓN TEMÁTICA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La entrada más clara para VELA es biodiversidad y gestión de recursos naturales. Agricultura regenerativa puede ser una segunda vertical cuando existan casos de uso y métricas específicas; no conviene dispersar el foco antes de validar la primera cuña.</w:t>
            </w:r>
          </w:p>
        </w:tc>
      </w:tr>
    </w:tbl>
    <w:p>
      <w:pPr>
        <w:spacing w:after="20"/>
      </w:pP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11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Tecnología, seguridad y diligencia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La base es demostrable; el riesgo central pasa a ser operar de forma confiable con datos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0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52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498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Frontend</w:t>
            </w:r>
          </w:p>
        </w:tc>
        <w:tc>
          <w:tcPr>
            <w:tcW w:type="dxa" w:w="35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Next.js 15, React 19, TypeScript, Leaflet</w:t>
            </w:r>
          </w:p>
        </w:tc>
        <w:tc>
          <w:tcPr>
            <w:tcW w:type="dxa" w:w="49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Acceso Google, dashboard, PWA e informes.</w:t>
            </w:r>
          </w:p>
        </w:tc>
      </w:tr>
      <w:tr>
        <w:trPr>
          <w:cantSplit/>
        </w:trPr>
        <w:tc>
          <w:tcPr>
            <w:tcW w:type="dxa" w:w="180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API</w:t>
            </w:r>
          </w:p>
        </w:tc>
        <w:tc>
          <w:tcPr>
            <w:tcW w:type="dxa" w:w="35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FastAPI, asyncpg, JWT, Google Auth</w:t>
            </w:r>
          </w:p>
        </w:tc>
        <w:tc>
          <w:tcPr>
            <w:tcW w:type="dxa" w:w="49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RBAC, organizaciones, reglas, alertas, reportes e impacto.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Datos</w:t>
            </w:r>
          </w:p>
        </w:tc>
        <w:tc>
          <w:tcPr>
            <w:tcW w:type="dxa" w:w="35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PostgreSQL 16 + PostGIS, S3/MinIO</w:t>
            </w:r>
          </w:p>
        </w:tc>
        <w:tc>
          <w:tcPr>
            <w:tcW w:type="dxa" w:w="49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Geoespacial, series, evidencia privada y links firmados.</w:t>
            </w:r>
          </w:p>
        </w:tc>
      </w:tr>
      <w:tr>
        <w:trPr>
          <w:cantSplit/>
        </w:trPr>
        <w:tc>
          <w:tcPr>
            <w:tcW w:type="dxa" w:w="180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IoT</w:t>
            </w:r>
          </w:p>
        </w:tc>
        <w:tc>
          <w:tcPr>
            <w:tcW w:type="dxa" w:w="35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MQTT, Node ingest, ESP32/simulador</w:t>
            </w:r>
          </w:p>
        </w:tc>
        <w:tc>
          <w:tcPr>
            <w:tcW w:type="dxa" w:w="49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Telemetría y eventos de dispositivo.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Analítica</w:t>
            </w:r>
          </w:p>
        </w:tc>
        <w:tc>
          <w:tcPr>
            <w:tcW w:type="dxa" w:w="35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PyTorch, reglas y OpenCV/FIRMS</w:t>
            </w:r>
          </w:p>
        </w:tc>
        <w:tc>
          <w:tcPr>
            <w:tcW w:type="dxa" w:w="49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Anomalías, correlación y señales satelitales.</w:t>
            </w:r>
          </w:p>
        </w:tc>
      </w:tr>
      <w:tr>
        <w:trPr>
          <w:cantSplit/>
        </w:trPr>
        <w:tc>
          <w:tcPr>
            <w:tcW w:type="dxa" w:w="180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Despliegue</w:t>
            </w:r>
          </w:p>
        </w:tc>
        <w:tc>
          <w:tcPr>
            <w:tcW w:type="dxa" w:w="35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Docker multietapa, Kubernetes, CI</w:t>
            </w:r>
          </w:p>
        </w:tc>
        <w:tc>
          <w:tcPr>
            <w:tcW w:type="dxa" w:w="49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Imágenes no-root, probes, PDB e ingress de referencia.</w:t>
            </w:r>
          </w:p>
        </w:tc>
      </w:tr>
    </w:tbl>
    <w:p>
      <w:pPr>
        <w:spacing w:after="20"/>
      </w:pPr>
    </w:p>
    <w:p>
      <w:pPr>
        <w:pStyle w:val="Heading2"/>
      </w:pPr>
      <w:r>
        <w:t>Controles incorporados en esta edición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Google ID token verificado en backend; separación por organización y roles.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Endpoint satelital y notificaciones internas protegidos con credenciales de servicio.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Token ciudadano firmado, limitador, honeypot, consentimiento y validación de imágenes.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Bucket privado, URLs firmadas y tokens de informes almacenados sólo como hash.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Rechazo de secretos inseguros en producción, encabezados de seguridad y sesión web efímera.</w:t>
      </w:r>
    </w:p>
    <w:p>
      <w:pPr>
        <w:pStyle w:val="Heading2"/>
      </w:pPr>
      <w:r>
        <w:t>Validación ejecutada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shd w:fill="E8F3E1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78A22"/>
                <w:sz w:val="32"/>
              </w:rPr>
              <w:t>17/17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pruebas API aprobadas</w:t>
            </w:r>
          </w:p>
        </w:tc>
        <w:tc>
          <w:tcPr>
            <w:tcW w:type="dxa" w:w="2577"/>
            <w:shd w:fill="DDEEEB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0E766E"/>
                <w:sz w:val="32"/>
              </w:rPr>
              <w:t>OK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compileall Python</w:t>
            </w:r>
          </w:p>
        </w:tc>
        <w:tc>
          <w:tcPr>
            <w:tcW w:type="dxa" w:w="2577"/>
            <w:shd w:fill="E4F0F6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246B8E"/>
                <w:sz w:val="32"/>
              </w:rPr>
              <w:t>OK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TypeScript sin errores</w:t>
            </w:r>
          </w:p>
        </w:tc>
        <w:tc>
          <w:tcPr>
            <w:tcW w:type="dxa" w:w="2577"/>
            <w:shd w:fill="FFF0D9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D97706"/>
                <w:sz w:val="32"/>
              </w:rPr>
              <w:t>Pendiente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build Next en runner estable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LIMITACIÓN DEL ENTORNO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La compilación integral de Next.js fue bloqueada por HTTP 503 al descargar el binario Linux de SWC. No hubo un error de tipos; debe repetirse en CI/Docker antes de la entrega a producción.</w:t>
            </w:r>
          </w:p>
        </w:tc>
      </w:tr>
    </w:tbl>
    <w:p>
      <w:pPr>
        <w:spacing w:after="20"/>
      </w:pPr>
    </w:p>
    <w:p>
      <w:pPr>
        <w:pStyle w:val="Heading2"/>
      </w:pPr>
      <w:r>
        <w:t>Riesgos técnicos a cerrar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Rate limiting distribuido, MQTT autenticado, sesiones revocables/MFA y alta por invitación.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Re-encoding/EXIF/antivirus de evidencias, observabilidad, backup/PITR y restauración.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Migraciones versionadas, pruebas de carga, pentest, accesibilidad y calibración de modelos.</w:t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12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Portafolio de pilotos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Tres arquetipos reducen riesgo técnico y prueban compradores diferentes sin construir tres productos.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172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Piloto</w:t>
            </w:r>
          </w:p>
        </w:tc>
        <w:tc>
          <w:tcPr>
            <w:tcW w:type="dxa" w:w="28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52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Cliente objetivo</w:t>
            </w:r>
          </w:p>
        </w:tc>
        <w:tc>
          <w:tcPr>
            <w:tcW w:type="dxa" w:w="318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Éxito</w:t>
            </w:r>
          </w:p>
        </w:tc>
      </w:tr>
      <w:tr>
        <w:trPr>
          <w:cantSplit/>
        </w:trPr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P1 · Bosque/biodiversidad</w:t>
            </w:r>
          </w:p>
        </w:tc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Foco térmico + humo + clima + confirmación</w:t>
            </w:r>
          </w:p>
        </w:tc>
        <w:tc>
          <w:tcPr>
            <w:tcW w:type="dxa" w:w="252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Forestal, reserva o gobierno</w:t>
            </w:r>
          </w:p>
        </w:tc>
        <w:tc>
          <w:tcPr>
            <w:tcW w:type="dxa" w:w="31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&lt;5 min; confirmación; evidencia; respuesta vs baseline</w:t>
            </w:r>
          </w:p>
        </w:tc>
      </w:tr>
      <w:tr>
        <w:trPr>
          <w:cantSplit/>
        </w:trPr>
        <w:tc>
          <w:tcPr>
            <w:tcW w:type="dxa" w:w="172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P2 · Municipio/PO</w:t>
            </w:r>
          </w:p>
        </w:tc>
        <w:tc>
          <w:tcPr>
            <w:tcW w:type="dxa" w:w="28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Microbasural, inundación o incidente territorial</w:t>
            </w:r>
          </w:p>
        </w:tc>
        <w:tc>
          <w:tcPr>
            <w:tcW w:type="dxa" w:w="252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Municipio/programa/operador</w:t>
            </w:r>
          </w:p>
        </w:tc>
        <w:tc>
          <w:tcPr>
            <w:tcW w:type="dxa" w:w="31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SLA, cierre, participación y reporte mensual</w:t>
            </w:r>
          </w:p>
        </w:tc>
      </w:tr>
      <w:tr>
        <w:trPr>
          <w:cantSplit/>
        </w:trPr>
        <w:tc>
          <w:tcPr>
            <w:tcW w:type="dxa" w:w="172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P3 · Energía/infraestructura</w:t>
            </w:r>
          </w:p>
        </w:tc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Metano, temperatura o zona de riesgo</w:t>
            </w:r>
          </w:p>
        </w:tc>
        <w:tc>
          <w:tcPr>
            <w:tcW w:type="dxa" w:w="252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Utility/industria/aseguradora</w:t>
            </w:r>
          </w:p>
        </w:tc>
        <w:tc>
          <w:tcPr>
            <w:tcW w:type="dxa" w:w="31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Disponibilidad, alertas útiles, downtime/riesgo evitado</w:t>
            </w:r>
          </w:p>
        </w:tc>
      </w:tr>
    </w:tbl>
    <w:p>
      <w:pPr>
        <w:spacing w:after="20"/>
      </w:pPr>
    </w:p>
    <w:p>
      <w:pPr>
        <w:pStyle w:val="Heading2"/>
      </w:pPr>
      <w:r>
        <w:t>Diseño contractual mínimo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Problema, área, fuentes, responsables y protocolo claramente delimitados.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Baseline y criterios de éxito con definiciones y denominadores.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Responsabilidad por decisiones, advertencia de no-emergencia y plan de contingencia manual.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Datos, imágenes, retención, subencargados, seguridad e incidentes acordados.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Precio, costos de hardware, soporte, propiedad de datos/IP y opción de conversión anual.</w:t>
      </w:r>
    </w:p>
    <w:p>
      <w:pPr>
        <w:pStyle w:val="Heading2"/>
      </w:pPr>
      <w:r>
        <w:t>Entregables por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Semana 0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Mapa de proceso, baseline, DPIA/seguridad y plan de instrumentación.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Operación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Dashboard, alertas, runbook, entrenamiento, soporte y bitácora.</w:t>
            </w:r>
          </w:p>
        </w:tc>
      </w:tr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Cierre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Informe ejecutivo, métricas, incidentes, limitaciones y recomendaciones.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Conversión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Propuesta anual, expansión, SLA e integración con sistemas del cliente.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246B8E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4F0F6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46B8E"/>
                <w:sz w:val="17"/>
              </w:rPr>
              <w:t>CRITERIO COMERCIAL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Un piloto debe responder tres preguntas: ¿el problema es urgente?, ¿el sistema cambia una decisión?, ¿el cliente paga por sostenerlo? Si una queda sin evidencia, no se debe escalar todavía.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13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Equipo, gobierno y capacidad de ejecución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La principal brecha de due diligence no es el stack: es saber quién lo construye, vende y opera.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B42318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DE7E5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>INFORMACIÓN CRÍTICA A COMPLETAR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Fundadores, roles, dedicación, experiencia, LinkedIn/CV, sociedad, cap table, vesting, propiedad intelectual y referencias no fueron provistos. Deben completarse antes de enviar el documento a cualquier inversor.</w:t>
            </w:r>
          </w:p>
        </w:tc>
      </w:tr>
    </w:tbl>
    <w:p>
      <w:pPr>
        <w:spacing w:after="20"/>
      </w:pPr>
    </w:p>
    <w:p>
      <w:pPr>
        <w:pStyle w:val="Heading2"/>
      </w:pPr>
      <w:r>
        <w:t>Equipo mínimo del caso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7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87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Dedicación</w:t>
            </w:r>
          </w:p>
        </w:tc>
        <w:tc>
          <w:tcPr>
            <w:tcW w:type="dxa" w:w="606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CEO / partnerships</w:t>
            </w:r>
          </w:p>
        </w:tc>
        <w:tc>
          <w:tcPr>
            <w:tcW w:type="dxa" w:w="187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Fundador full-time</w:t>
            </w:r>
          </w:p>
        </w:tc>
        <w:tc>
          <w:tcPr>
            <w:tcW w:type="dxa" w:w="606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Ventas, capital, gobierno, clientes y alianzas.</w:t>
            </w:r>
          </w:p>
        </w:tc>
      </w:tr>
      <w:tr>
        <w:trPr>
          <w:cantSplit/>
        </w:trPr>
        <w:tc>
          <w:tcPr>
            <w:tcW w:type="dxa" w:w="237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CTO / product</w:t>
            </w:r>
          </w:p>
        </w:tc>
        <w:tc>
          <w:tcPr>
            <w:tcW w:type="dxa" w:w="187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Fundador o hire clave</w:t>
            </w:r>
          </w:p>
        </w:tc>
        <w:tc>
          <w:tcPr>
            <w:tcW w:type="dxa" w:w="606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Arquitectura, seguridad, roadmap y equipo.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Backend/full-stack</w:t>
            </w:r>
          </w:p>
        </w:tc>
        <w:tc>
          <w:tcPr>
            <w:tcW w:type="dxa" w:w="187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1 FTE</w:t>
            </w:r>
          </w:p>
        </w:tc>
        <w:tc>
          <w:tcPr>
            <w:tcW w:type="dxa" w:w="606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API, web, integraciones, QA y observabilidad.</w:t>
            </w:r>
          </w:p>
        </w:tc>
      </w:tr>
      <w:tr>
        <w:trPr>
          <w:cantSplit/>
        </w:trPr>
        <w:tc>
          <w:tcPr>
            <w:tcW w:type="dxa" w:w="237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Data/ML/geospatial</w:t>
            </w:r>
          </w:p>
        </w:tc>
        <w:tc>
          <w:tcPr>
            <w:tcW w:type="dxa" w:w="187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0,75-1 FTE</w:t>
            </w:r>
          </w:p>
        </w:tc>
        <w:tc>
          <w:tcPr>
            <w:tcW w:type="dxa" w:w="606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Calidad, modelos, PostGIS, evaluación e impacto.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IoT/field operations</w:t>
            </w:r>
          </w:p>
        </w:tc>
        <w:tc>
          <w:tcPr>
            <w:tcW w:type="dxa" w:w="187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0,5-1 FTE</w:t>
            </w:r>
          </w:p>
        </w:tc>
        <w:tc>
          <w:tcPr>
            <w:tcW w:type="dxa" w:w="606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Hardware, instalación, conectividad y soporte.</w:t>
            </w:r>
          </w:p>
        </w:tc>
      </w:tr>
      <w:tr>
        <w:trPr>
          <w:cantSplit/>
        </w:trPr>
        <w:tc>
          <w:tcPr>
            <w:tcW w:type="dxa" w:w="237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Customer success/pilots</w:t>
            </w:r>
          </w:p>
        </w:tc>
        <w:tc>
          <w:tcPr>
            <w:tcW w:type="dxa" w:w="187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0,5-1 FTE</w:t>
            </w:r>
          </w:p>
        </w:tc>
        <w:tc>
          <w:tcPr>
            <w:tcW w:type="dxa" w:w="606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Onboarding, runbooks, adopción y reportes.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Legal/security/impact</w:t>
            </w:r>
          </w:p>
        </w:tc>
        <w:tc>
          <w:tcPr>
            <w:tcW w:type="dxa" w:w="187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Especialistas</w:t>
            </w:r>
          </w:p>
        </w:tc>
        <w:tc>
          <w:tcPr>
            <w:tcW w:type="dxa" w:w="606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Contratos, privacidad, pentest, seguros y verificación.</w:t>
            </w:r>
          </w:p>
        </w:tc>
      </w:tr>
    </w:tbl>
    <w:p>
      <w:pPr>
        <w:spacing w:after="20"/>
      </w:pPr>
    </w:p>
    <w:p>
      <w:pPr>
        <w:pStyle w:val="Heading2"/>
      </w:pPr>
      <w:r>
        <w:t>Gobierno propuesto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Board mensual durante pilotos; trimestre formal después de conversión.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Presupuesto, caja, ventas, producto, seguridad e impacto en un único pack de reporting.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Reserved matters para deuda material, emisión, venta de IP, related parties y cambio de control.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Política de conflictos, compras, regalos, denuncia y privacidad aprobadas por el órgano correspondiente.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Advisory network con biodiversidad/forestal, sector público, seguridad y capital emprendedor.</w:t>
      </w: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14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Riesgos principales y mitigación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La inversión es defendible sólo si los hitos atacan los riesgos correctos.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8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08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15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19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Etapa no elegible para VELA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115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Ronda puente + hitos Series A; pre-screening sin afirmar elegibilidad.</w:t>
            </w:r>
          </w:p>
        </w:tc>
      </w:tr>
      <w:tr>
        <w:trPr>
          <w:cantSplit/>
        </w:trPr>
        <w:tc>
          <w:tcPr>
            <w:tcW w:type="dxa" w:w="28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Ciclo de venta público/corporativo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115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Pilotos pagos, champion, procurement map y vertical privada paralela.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Falsos positivos / confianza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Media-alta</w:t>
            </w:r>
          </w:p>
        </w:tc>
        <w:tc>
          <w:tcPr>
            <w:tcW w:type="dxa" w:w="115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Baseline, revisión humana, calibración y métricas por evento.</w:t>
            </w:r>
          </w:p>
        </w:tc>
      </w:tr>
      <w:tr>
        <w:trPr>
          <w:cantSplit/>
        </w:trPr>
        <w:tc>
          <w:tcPr>
            <w:tcW w:type="dxa" w:w="28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Privacidad/geolocalización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</w:t>
            </w:r>
          </w:p>
        </w:tc>
        <w:tc>
          <w:tcPr>
            <w:tcW w:type="dxa" w:w="115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Minimización, consentimiento, DPA, retención y evidencia privada.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Hardware/conectividad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115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Media-alta</w:t>
            </w:r>
          </w:p>
        </w:tc>
        <w:tc>
          <w:tcPr>
            <w:tcW w:type="dxa" w:w="51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Arquitectura offline, redundancia, stock y SLA de instalación.</w:t>
            </w:r>
          </w:p>
        </w:tc>
      </w:tr>
      <w:tr>
        <w:trPr>
          <w:cantSplit/>
        </w:trPr>
        <w:tc>
          <w:tcPr>
            <w:tcW w:type="dxa" w:w="28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Dependencia de terceros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</w:t>
            </w:r>
          </w:p>
        </w:tc>
        <w:tc>
          <w:tcPr>
            <w:tcW w:type="dxa" w:w="115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Media-alta</w:t>
            </w:r>
          </w:p>
        </w:tc>
        <w:tc>
          <w:tcPr>
            <w:tcW w:type="dxa" w:w="51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Múltiples fuentes, caching, contratos y degradación controlada.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Talento/FX/runway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Media-alta</w:t>
            </w:r>
          </w:p>
        </w:tc>
        <w:tc>
          <w:tcPr>
            <w:tcW w:type="dxa" w:w="115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Contratación por hitos, reserva, moneda y escenarios mensuales.</w:t>
            </w:r>
          </w:p>
        </w:tc>
      </w:tr>
      <w:tr>
        <w:trPr>
          <w:cantSplit/>
        </w:trPr>
        <w:tc>
          <w:tcPr>
            <w:tcW w:type="dxa" w:w="28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Impacto sobredeclarado</w:t>
            </w:r>
          </w:p>
        </w:tc>
        <w:tc>
          <w:tcPr>
            <w:tcW w:type="dxa" w:w="108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Media</w:t>
            </w:r>
          </w:p>
        </w:tc>
        <w:tc>
          <w:tcPr>
            <w:tcW w:type="dxa" w:w="115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Método, baseline, denominadores y verificación independiente.</w:t>
            </w:r>
          </w:p>
        </w:tc>
      </w:tr>
      <w:tr>
        <w:trPr>
          <w:cantSplit/>
        </w:trPr>
        <w:tc>
          <w:tcPr>
            <w:tcW w:type="dxa" w:w="28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5"/>
              </w:rPr>
              <w:t>IP/sociedad incompleta</w:t>
            </w:r>
          </w:p>
        </w:tc>
        <w:tc>
          <w:tcPr>
            <w:tcW w:type="dxa" w:w="108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Desconocida</w:t>
            </w:r>
          </w:p>
        </w:tc>
        <w:tc>
          <w:tcPr>
            <w:tcW w:type="dxa" w:w="115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Alta</w:t>
            </w:r>
          </w:p>
        </w:tc>
        <w:tc>
          <w:tcPr>
            <w:tcW w:type="dxa" w:w="519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5"/>
              </w:rPr>
              <w:t>Due diligence, cesiones y cap table antes del cierre.</w:t>
            </w:r>
          </w:p>
        </w:tc>
      </w:tr>
    </w:tbl>
    <w:p>
      <w:pPr>
        <w:spacing w:after="20"/>
      </w:pPr>
    </w:p>
    <w:p>
      <w:pPr>
        <w:pStyle w:val="Heading2"/>
      </w:pPr>
      <w:r>
        <w:t>Kill criteria sugeridos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No se obtienen dos LOI o un piloto pago en los primeros hitos comerciales.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El costo de implementación no puede estandarizarse o destruye margen recurrente.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Las alertas no mejoran una decisión frente a procesos manuales/fuentes existentes.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No puede demostrarse una base legal/contractual viable para los datos críticos.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El equipo fundador no puede dedicarse full-time o no se resuelve la titularidad de 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0B1F2A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DISCIPLINA DE CAPITAL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FFFFFF"/>
                <w:sz w:val="19"/>
              </w:rPr>
              <w:t>El objetivo no es financiar 24 meses de actividad sin control, sino comprar evidencia. Cada tramo debe liberar el siguiente sólo cuando se reduzca un riesgo material.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15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Estructura de transacción propuesta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Términos de discusión para la ronda puente; no son términos de VELA ni una oferta vinculante.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shd w:fill="FFF0D9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D97706"/>
                <w:sz w:val="32"/>
              </w:rPr>
              <w:t>$250k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mínimo viable</w:t>
            </w:r>
          </w:p>
        </w:tc>
        <w:tc>
          <w:tcPr>
            <w:tcW w:type="dxa" w:w="2577"/>
            <w:shd w:fill="DDEEEB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0E766E"/>
                <w:sz w:val="32"/>
              </w:rPr>
              <w:t>$350k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caso base</w:t>
            </w:r>
          </w:p>
        </w:tc>
        <w:tc>
          <w:tcPr>
            <w:tcW w:type="dxa" w:w="2577"/>
            <w:shd w:fill="E8F3E1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478A22"/>
                <w:sz w:val="32"/>
              </w:rPr>
              <w:t>$400k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caso escala</w:t>
            </w:r>
          </w:p>
        </w:tc>
        <w:tc>
          <w:tcPr>
            <w:tcW w:type="dxa" w:w="2577"/>
            <w:shd w:fill="E4F0F6" w:val="clear"/>
            <w:tcMar>
              <w:top w:w="145" w:type="dxa"/>
              <w:start w:w="115" w:type="dxa"/>
              <w:bottom w:w="145" w:type="dxa"/>
              <w:end w:w="115" w:type="dxa"/>
            </w:tcMar>
            <w:tcBorders>
              <w:top w:val="single" w:sz="5" w:color="FFFFFF"/>
              <w:start w:val="single" w:sz="5" w:color="FFFFFF"/>
              <w:bottom w:val="single" w:sz="5" w:color="FFFFFF"/>
              <w:end w:val="single" w:sz="5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Liberation Sans" w:hAnsi="Liberation Sans" w:eastAsia="Liberation Sans"/>
                <w:b/>
                <w:color w:val="246B8E"/>
                <w:sz w:val="32"/>
              </w:rPr>
              <w:t>18-24m</w:t>
            </w:r>
          </w:p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53636D"/>
                <w:sz w:val="16"/>
              </w:rPr>
              <w:t>runway objetivo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15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3671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Propuesta</w:t>
            </w:r>
          </w:p>
        </w:tc>
        <w:tc>
          <w:tcPr>
            <w:tcW w:type="dxa" w:w="462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Comentario</w:t>
            </w:r>
          </w:p>
        </w:tc>
      </w:tr>
      <w:tr>
        <w:trPr>
          <w:cantSplit/>
        </w:trPr>
        <w:tc>
          <w:tcPr>
            <w:tcW w:type="dxa" w:w="201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Instrumento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SAFE/nota convertible o equity seed</w:t>
            </w:r>
          </w:p>
        </w:tc>
        <w:tc>
          <w:tcPr>
            <w:tcW w:type="dxa" w:w="462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Definir con abogados y según jurisdicción/cap table.</w:t>
            </w:r>
          </w:p>
        </w:tc>
      </w:tr>
      <w:tr>
        <w:trPr>
          <w:cantSplit/>
        </w:trPr>
        <w:tc>
          <w:tcPr>
            <w:tcW w:type="dxa" w:w="2015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Valuación/cap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 negociar</w:t>
            </w:r>
          </w:p>
        </w:tc>
        <w:tc>
          <w:tcPr>
            <w:tcW w:type="dxa" w:w="462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inventar sin equipo, tracción, IP y comparables.</w:t>
            </w:r>
          </w:p>
        </w:tc>
      </w:tr>
      <w:tr>
        <w:trPr>
          <w:cantSplit/>
        </w:trPr>
        <w:tc>
          <w:tcPr>
            <w:tcW w:type="dxa" w:w="201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Tramos base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$200k + $150k</w:t>
            </w:r>
          </w:p>
        </w:tc>
        <w:tc>
          <w:tcPr>
            <w:tcW w:type="dxa" w:w="462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Segundo tramo contra hitos acordados; estructura opcional.</w:t>
            </w:r>
          </w:p>
        </w:tc>
      </w:tr>
      <w:tr>
        <w:trPr>
          <w:cantSplit/>
        </w:trPr>
        <w:tc>
          <w:tcPr>
            <w:tcW w:type="dxa" w:w="2015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Hitos del segundo tramo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Sociedad/IP + 2 acuerdos piloto + entorno seguro + piloto 1</w:t>
            </w:r>
          </w:p>
        </w:tc>
        <w:tc>
          <w:tcPr>
            <w:tcW w:type="dxa" w:w="462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Precisar métricas y cure periods.</w:t>
            </w:r>
          </w:p>
        </w:tc>
      </w:tr>
      <w:tr>
        <w:trPr>
          <w:cantSplit/>
        </w:trPr>
        <w:tc>
          <w:tcPr>
            <w:tcW w:type="dxa" w:w="201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Derechos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Información, pro-rata, MFN/observador según instrumento</w:t>
            </w:r>
          </w:p>
        </w:tc>
        <w:tc>
          <w:tcPr>
            <w:tcW w:type="dxa" w:w="462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Mantener gobierno proporcional a etapa.</w:t>
            </w:r>
          </w:p>
        </w:tc>
      </w:tr>
      <w:tr>
        <w:trPr>
          <w:cantSplit/>
        </w:trPr>
        <w:tc>
          <w:tcPr>
            <w:tcW w:type="dxa" w:w="2015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Uso restringido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Presupuesto aprobado</w:t>
            </w:r>
          </w:p>
        </w:tc>
        <w:tc>
          <w:tcPr>
            <w:tcW w:type="dxa" w:w="462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Desvíos materiales requieren aprobación/reporting.</w:t>
            </w:r>
          </w:p>
        </w:tc>
      </w:tr>
      <w:tr>
        <w:trPr>
          <w:cantSplit/>
        </w:trPr>
        <w:tc>
          <w:tcPr>
            <w:tcW w:type="dxa" w:w="2015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Siguiente ronda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Series A o bridge institucional</w:t>
            </w:r>
          </w:p>
        </w:tc>
        <w:tc>
          <w:tcPr>
            <w:tcW w:type="dxa" w:w="462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Objetivo: etapa, tracción e impacto compatibles con VELA.</w:t>
            </w:r>
          </w:p>
        </w:tc>
      </w:tr>
    </w:tbl>
    <w:p>
      <w:pPr>
        <w:spacing w:after="20"/>
      </w:pPr>
    </w:p>
    <w:p>
      <w:pPr>
        <w:pStyle w:val="Heading2"/>
      </w:pPr>
      <w:r>
        <w:t>Ejemplo de tranche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Cierre · USD 200k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Sociedad/IP, fundadores full-time, presupuesto, 2 LOI, data governance y build CI limpio.</w:t>
            </w:r>
          </w:p>
        </w:tc>
        <w:tc>
          <w:tcPr>
            <w:tcW w:type="dxa" w:w="5097"/>
            <w:tcMar>
              <w:top w:w="135" w:type="dxa"/>
              <w:start w:w="145" w:type="dxa"/>
              <w:bottom w:w="135" w:type="dxa"/>
              <w:end w:w="145" w:type="dxa"/>
            </w:tcMar>
            <w:shd w:fill="DDEEEB" w:val="clear"/>
            <w:tcBorders>
              <w:top w:val="single" w:sz="8" w:color="FFFFFF"/>
              <w:start w:val="single" w:sz="8" w:color="FFFFFF"/>
              <w:bottom w:val="single" w:sz="8" w:color="FFFFFF"/>
              <w:end w:val="single" w:sz="8" w:color="FFFFFF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0B1F2A"/>
                <w:sz w:val="20"/>
              </w:rPr>
              <w:t>Tramo 2 · USD 150k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color w:val="1D2A30"/>
                <w:sz w:val="17"/>
              </w:rPr>
              <w:t>Entorno productivo, seguridad crítica cerrada, piloto 1 desplegado y pilotos 2-3 firmados.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D97706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FF0D9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D97706"/>
                <w:sz w:val="17"/>
              </w:rPr>
              <w:t>NO FIJAR VALUACIÓN DESDE EL CÓDIGO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Una valuación depende de equipo, mercado, tracción, IP, condiciones de la ronda y negociación. El repositorio demuestra capacidad técnica, pero no justifica por sí solo un precio de equity.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16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Due diligence y condiciones precedentes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Los faltantes deben convertirse en un data room, no ocultarse en la narrativa.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8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Carpeta</w:t>
            </w:r>
          </w:p>
        </w:tc>
        <w:tc>
          <w:tcPr>
            <w:tcW w:type="dxa" w:w="6840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Contenido mínimo</w:t>
            </w:r>
          </w:p>
        </w:tc>
        <w:tc>
          <w:tcPr>
            <w:tcW w:type="dxa" w:w="138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Corporativo</w:t>
            </w:r>
          </w:p>
        </w:tc>
        <w:tc>
          <w:tcPr>
            <w:tcW w:type="dxa" w:w="68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Sociedad, CUIT, estatuto, cap table, beneficiarios, acuerdos</w:t>
            </w:r>
          </w:p>
        </w:tc>
        <w:tc>
          <w:tcPr>
            <w:tcW w:type="dxa" w:w="13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Bloqueante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Fundadores/equipo</w:t>
            </w:r>
          </w:p>
        </w:tc>
        <w:tc>
          <w:tcPr>
            <w:tcW w:type="dxa" w:w="68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CV, dedicación, roles, referencias, vesting y contratos</w:t>
            </w:r>
          </w:p>
        </w:tc>
        <w:tc>
          <w:tcPr>
            <w:tcW w:type="dxa" w:w="13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Bloqueante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Propiedad intelectual</w:t>
            </w:r>
          </w:p>
        </w:tc>
        <w:tc>
          <w:tcPr>
            <w:tcW w:type="dxa" w:w="68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Cesiones, licencias OSS, marcas, datasets y dominios</w:t>
            </w:r>
          </w:p>
        </w:tc>
        <w:tc>
          <w:tcPr>
            <w:tcW w:type="dxa" w:w="13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Bloqueante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Mercado</w:t>
            </w:r>
          </w:p>
        </w:tc>
        <w:tc>
          <w:tcPr>
            <w:tcW w:type="dxa" w:w="68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Entrevistas, LOI, contratos, pipeline, pricing y competidores</w:t>
            </w:r>
          </w:p>
        </w:tc>
        <w:tc>
          <w:tcPr>
            <w:tcW w:type="dxa" w:w="13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Finanzas</w:t>
            </w:r>
          </w:p>
        </w:tc>
        <w:tc>
          <w:tcPr>
            <w:tcW w:type="dxa" w:w="68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Históricos, presupuesto mensual, impuestos, FX y unit economics</w:t>
            </w:r>
          </w:p>
        </w:tc>
        <w:tc>
          <w:tcPr>
            <w:tcW w:type="dxa" w:w="13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Producto</w:t>
            </w:r>
          </w:p>
        </w:tc>
        <w:tc>
          <w:tcPr>
            <w:tcW w:type="dxa" w:w="68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Demo, roadmap, CI, pentest, disponibilidad, deuda y costos cloud</w:t>
            </w:r>
          </w:p>
        </w:tc>
        <w:tc>
          <w:tcPr>
            <w:tcW w:type="dxa" w:w="13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Datos/IA</w:t>
            </w:r>
          </w:p>
        </w:tc>
        <w:tc>
          <w:tcPr>
            <w:tcW w:type="dxa" w:w="68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Linaje, licencias, calidad, evaluación, drift y revisión humana</w:t>
            </w:r>
          </w:p>
        </w:tc>
        <w:tc>
          <w:tcPr>
            <w:tcW w:type="dxa" w:w="13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Impacto</w:t>
            </w:r>
          </w:p>
        </w:tc>
        <w:tc>
          <w:tcPr>
            <w:tcW w:type="dxa" w:w="6840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Teoría de cambio, baseline, métricas, atribución y verificador</w:t>
            </w:r>
          </w:p>
        </w:tc>
        <w:tc>
          <w:tcPr>
            <w:tcW w:type="dxa" w:w="138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Alta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Legal/compliance</w:t>
            </w:r>
          </w:p>
        </w:tc>
        <w:tc>
          <w:tcPr>
            <w:tcW w:type="dxa" w:w="6840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Términos, privacidad, DPA, subencargados, seguros</w:t>
            </w:r>
          </w:p>
        </w:tc>
        <w:tc>
          <w:tcPr>
            <w:tcW w:type="dxa" w:w="138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Bloqueante para producción</w:t>
            </w:r>
          </w:p>
        </w:tc>
      </w:tr>
    </w:tbl>
    <w:p>
      <w:pPr>
        <w:spacing w:after="20"/>
      </w:pPr>
    </w:p>
    <w:p>
      <w:pPr>
        <w:pStyle w:val="Heading2"/>
      </w:pPr>
      <w:r>
        <w:t>Condiciones antes de circular este memo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Reemplazar todos los campos [A COMPLETAR] y verificar identidad de la entidad solicitante.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Agregar biografías y dedicación de fundadores, cap table y titularidad del repositorio.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Sustituir modelos por datos reales cuando existan; adjuntar supuestos en formato editable.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Incluir 2-3 cartas de interés/piloto y evidencia de entrevistas con compradores.</w:t>
      </w:r>
    </w:p>
    <w:p>
      <w:pPr>
        <w:pStyle w:val="EconexoBullet"/>
        <w:spacing w:after="40"/>
      </w:pPr>
      <w:r>
        <w:rPr>
          <w:rFonts w:ascii="Liberation Sans" w:hAnsi="Liberation Sans" w:eastAsia="Liberation Sans"/>
          <w:color w:val="1D2A30"/>
          <w:sz w:val="19"/>
        </w:rPr>
        <w:t>Revisar el documento con asesores legal, fiscal y financiero.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B42318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FDE7E5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B42318"/>
                <w:sz w:val="17"/>
              </w:rPr>
              <w:t>ESTADO DEL INFORME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Listo como memo estructural y de discusión. No listo como paquete final de inversión hasta completar los faltantes bloqueantes.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17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Estrategia de acceso a capital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Primero una ronda compatible con la etapa; luego VELA con evidencia.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pStyle w:val="Heading2"/>
      </w:pPr>
      <w:r>
        <w:t>Secuencia sugerida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79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259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692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1</w:t>
            </w:r>
          </w:p>
        </w:tc>
        <w:tc>
          <w:tcPr>
            <w:tcW w:type="dxa" w:w="25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Introducciones locales</w:t>
            </w:r>
          </w:p>
        </w:tc>
        <w:tc>
          <w:tcPr>
            <w:tcW w:type="dxa" w:w="692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Silicon Misiones, Posadas Startup, Fondo de Crédito/MADE y Dirección de Inversiones.</w:t>
            </w:r>
          </w:p>
        </w:tc>
      </w:tr>
      <w:tr>
        <w:trPr>
          <w:cantSplit/>
        </w:trPr>
        <w:tc>
          <w:tcPr>
            <w:tcW w:type="dxa" w:w="7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2</w:t>
            </w:r>
          </w:p>
        </w:tc>
        <w:tc>
          <w:tcPr>
            <w:tcW w:type="dxa" w:w="25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Clubes ángel/seed</w:t>
            </w:r>
          </w:p>
        </w:tc>
        <w:tc>
          <w:tcPr>
            <w:tcW w:type="dxa" w:w="692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Business Angels Club EmprendeIAE, FIDBAN, EMPREAR y ADDventure.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3</w:t>
            </w:r>
          </w:p>
        </w:tc>
        <w:tc>
          <w:tcPr>
            <w:tcW w:type="dxa" w:w="25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Pilotos y capital no dilutivo</w:t>
            </w:r>
          </w:p>
        </w:tc>
        <w:tc>
          <w:tcPr>
            <w:tcW w:type="dxa" w:w="692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Municipios, forestales, utilities, aseguradoras, corporativos y programas.</w:t>
            </w:r>
          </w:p>
        </w:tc>
      </w:tr>
      <w:tr>
        <w:trPr>
          <w:cantSplit/>
        </w:trPr>
        <w:tc>
          <w:tcPr>
            <w:tcW w:type="dxa" w:w="7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4</w:t>
            </w:r>
          </w:p>
        </w:tc>
        <w:tc>
          <w:tcPr>
            <w:tcW w:type="dxa" w:w="25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Ronda puente</w:t>
            </w:r>
          </w:p>
        </w:tc>
        <w:tc>
          <w:tcPr>
            <w:tcW w:type="dxa" w:w="692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USD 250-400k con hitos y data room.</w:t>
            </w:r>
          </w:p>
        </w:tc>
      </w:tr>
      <w:tr>
        <w:trPr>
          <w:cantSplit/>
        </w:trPr>
        <w:tc>
          <w:tcPr>
            <w:tcW w:type="dxa" w:w="7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5</w:t>
            </w:r>
          </w:p>
        </w:tc>
        <w:tc>
          <w:tcPr>
            <w:tcW w:type="dxa" w:w="259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Serie A-ready</w:t>
            </w:r>
          </w:p>
        </w:tc>
        <w:tc>
          <w:tcPr>
            <w:tcW w:type="dxa" w:w="692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Conversión, ARR, margen, impacto, gobierno y expansión.</w:t>
            </w:r>
          </w:p>
        </w:tc>
      </w:tr>
      <w:tr>
        <w:trPr>
          <w:cantSplit/>
        </w:trPr>
        <w:tc>
          <w:tcPr>
            <w:tcW w:type="dxa" w:w="7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6</w:t>
            </w:r>
          </w:p>
        </w:tc>
        <w:tc>
          <w:tcPr>
            <w:tcW w:type="dxa" w:w="259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VELA</w:t>
            </w:r>
          </w:p>
        </w:tc>
        <w:tc>
          <w:tcPr>
            <w:tcW w:type="dxa" w:w="692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Aplicación formal o introducción cuando se cumpla la etapa publicada.</w:t>
            </w:r>
          </w:p>
        </w:tc>
      </w:tr>
    </w:tbl>
    <w:p>
      <w:pPr>
        <w:spacing w:after="20"/>
      </w:pPr>
    </w:p>
    <w:p>
      <w:pPr>
        <w:pStyle w:val="Heading2"/>
      </w:pPr>
      <w:r>
        <w:t>Contactos y enlaces oficiales</w:t>
      </w:r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17">
        <w:r>
          <w:rPr>
            <w:color w:val="0E766E"/>
            <w:u w:val="single"/>
            <w:rFonts w:ascii="Liberation Sans" w:hAnsi="Liberation Sans"/>
          </w:rPr>
          <w:t>Fondo de Impacto VELA · criterios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18">
        <w:r>
          <w:rPr>
            <w:color w:val="0E766E"/>
            <w:u w:val="single"/>
            <w:rFonts w:ascii="Liberation Sans" w:hAnsi="Liberation Sans"/>
          </w:rPr>
          <w:t>Formulario VELA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19">
        <w:r>
          <w:rPr>
            <w:color w:val="0E766E"/>
            <w:u w:val="single"/>
            <w:rFonts w:ascii="Liberation Sans" w:hAnsi="Liberation Sans"/>
          </w:rPr>
          <w:t>Sonen Capital · contacto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0">
        <w:r>
          <w:rPr>
            <w:color w:val="0E766E"/>
            <w:u w:val="single"/>
            <w:rFonts w:ascii="Liberation Sans" w:hAnsi="Liberation Sans"/>
          </w:rPr>
          <w:t>Business Angels Club EmprendeIAE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1">
        <w:r>
          <w:rPr>
            <w:color w:val="0E766E"/>
            <w:u w:val="single"/>
            <w:rFonts w:ascii="Liberation Sans" w:hAnsi="Liberation Sans"/>
          </w:rPr>
          <w:t>FIDBAN · emprendedores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2">
        <w:r>
          <w:rPr>
            <w:color w:val="0E766E"/>
            <w:u w:val="single"/>
            <w:rFonts w:ascii="Liberation Sans" w:hAnsi="Liberation Sans"/>
          </w:rPr>
          <w:t>EMPREAR Business Angels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3">
        <w:r>
          <w:rPr>
            <w:color w:val="0E766E"/>
            <w:u w:val="single"/>
            <w:rFonts w:ascii="Liberation Sans" w:hAnsi="Liberation Sans"/>
          </w:rPr>
          <w:t>ADDventure Club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4">
        <w:r>
          <w:rPr>
            <w:color w:val="0E766E"/>
            <w:u w:val="single"/>
            <w:rFonts w:ascii="Liberation Sans" w:hAnsi="Liberation Sans"/>
          </w:rPr>
          <w:t>Silicon Misiones · startups</w:t>
        </w:r>
      </w:hyperlink>
    </w:p>
    <w:p>
      <w:pPr>
        <w:pStyle w:val="EconexoBullet"/>
      </w:pPr>
      <w:r>
        <w:rPr>
          <w:rFonts w:ascii="Liberation Sans" w:hAnsi="Liberation Sans" w:eastAsia="Liberation Sans"/>
          <w:b/>
          <w:color w:val="0E766E"/>
          <w:sz w:val="19"/>
        </w:rPr>
        <w:t xml:space="preserve">• </w:t>
      </w:r>
      <w:hyperlink r:id="rId25">
        <w:r>
          <w:rPr>
            <w:color w:val="0E766E"/>
            <w:u w:val="single"/>
            <w:rFonts w:ascii="Liberation Sans" w:hAnsi="Liberation Sans"/>
          </w:rPr>
          <w:t>Fondo de Crédito Misiones · MADE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246B8E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4F0F6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246B8E"/>
                <w:sz w:val="17"/>
              </w:rPr>
              <w:t>CUIDADO DE INFORMACIÓN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En el primer contacto compartir one-pager, deck, demo y este memo sin secretos. El repositorio y el data room deben entregarse por acceso controlado, con permisos y trazabilidad.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18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Conclusión y solicitud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EcoNexo presenta una oportunidad de construcción, no una empresa de crecimiento ya validada.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0B1F2A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SOLICITUD PROPUESTA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FFFFFF"/>
                <w:sz w:val="19"/>
              </w:rPr>
              <w:t>USD 350.000 como caso base, dentro de un rango USD 250.000-400.000, para 24 meses de industrialización, tres pilotos, seguridad, impacto y preparación de una ronda institucional.</w:t>
            </w:r>
          </w:p>
        </w:tc>
      </w:tr>
    </w:tbl>
    <w:p>
      <w:pPr>
        <w:spacing w:after="20"/>
      </w:pPr>
    </w:p>
    <w:p>
      <w:pPr>
        <w:pStyle w:val="Heading2"/>
      </w:pPr>
      <w:r>
        <w:t>Por qué podría merecer una conversación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Problema material: eventos ambientales de alto costo con señales y responsabilidades fragmentadas.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Producto demostrable: stack integrado, multifuente, geoespacial y con reporting institucional.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Encaje potencial: biodiversidad, gestión de recursos e impacto medible en América Latina.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Uso de capital claro: hitos 0-1, pilotos y reducción de riesgos verificables.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Disciplina de elegibilidad: se reconoce la brecha Serie A y se propone una ruta para cerrarla.</w:t>
      </w:r>
    </w:p>
    <w:p>
      <w:pPr>
        <w:pStyle w:val="Heading2"/>
      </w:pPr>
      <w:r>
        <w:t>Decisión solicitada al inversor puente</w:t>
      </w:r>
    </w:p>
    <w:p>
      <w:r>
        <w:rPr>
          <w:rFonts w:ascii="Liberation Sans" w:hAnsi="Liberation Sans" w:eastAsia="Liberation Sans"/>
          <w:i w:val="0"/>
          <w:color w:val="1D2A30"/>
          <w:sz w:val="20"/>
        </w:rPr>
        <w:t>Abrir una fase de due diligence condicionada a completar fundadores, sociedad, IP, pilotos y presupuesto mensual; acordar el instrumento y los gates; y habilitar el primer tramo sólo cuando los bloqueantes jurídicos y comerciales estén documentados.</w:t>
      </w:r>
    </w:p>
    <w:p>
      <w:pPr>
        <w:pStyle w:val="Heading2"/>
      </w:pPr>
      <w:r>
        <w:t>Conversación solicitada a VELA/Sonen</w:t>
      </w:r>
    </w:p>
    <w:p>
      <w:r>
        <w:rPr>
          <w:rFonts w:ascii="Liberation Sans" w:hAnsi="Liberation Sans" w:eastAsia="Liberation Sans"/>
          <w:i w:val="0"/>
          <w:color w:val="1D2A30"/>
          <w:sz w:val="20"/>
        </w:rPr>
        <w:t>Confirmar si EcoNexo podría ser monitoreada como oportunidad futura de biodiversidad/climate intelligence, qué métricas y escala esperan para una empresa Serie A, y si recomiendan gestores, fondos o socios de etapa temprana dentro de su ecosistema.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E8F3E1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76B947"/>
                <w:sz w:val="17"/>
              </w:rPr>
              <w:t>PRINCIPIO DE CREDIBILIDAD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1D2A30"/>
                <w:sz w:val="19"/>
              </w:rPr>
              <w:t>La mejor presentación ante VELA no es afirmar que EcoNexo ya encaja. Es demostrar que entiende los criterios, mide su brecha y utiliza el capital temprano para llegar con evidencia.</w:t>
            </w:r>
          </w:p>
        </w:tc>
      </w:tr>
    </w:tbl>
    <w:p>
      <w:pPr>
        <w:spacing w:after="2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097"/>
            <w:tcMar>
              <w:top w:w="80" w:type="dxa"/>
              <w:start w:w="120" w:type="dxa"/>
              <w:bottom w:w="80" w:type="dxa"/>
              <w:end w:w="120" w:type="dxa"/>
            </w:tcMar>
            <w:shd w:fill="F4F7F5" w:val="clea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r>
              <w:rPr>
                <w:rFonts w:ascii="Liberation Sans" w:hAnsi="Liberation Sans" w:eastAsia="Liberation Sans"/>
                <w:b/>
                <w:color w:val="0E766E"/>
                <w:sz w:val="15"/>
              </w:rPr>
              <w:t>FUNDADOR/A Y CARGO</w:t>
            </w:r>
          </w:p>
          <w:p>
            <w:r>
              <w:rPr>
                <w:rFonts w:ascii="Liberation Sans" w:hAnsi="Liberation Sans" w:eastAsia="Liberation Sans"/>
                <w:b/>
                <w:color w:val="D97706"/>
                <w:sz w:val="20"/>
              </w:rPr>
              <w:t>[COMPLETAR]</w:t>
            </w:r>
          </w:p>
        </w:tc>
        <w:tc>
          <w:tcPr>
            <w:tcW w:type="dxa" w:w="5097"/>
            <w:tcMar>
              <w:top w:w="80" w:type="dxa"/>
              <w:start w:w="120" w:type="dxa"/>
              <w:bottom w:w="80" w:type="dxa"/>
              <w:end w:w="120" w:type="dxa"/>
            </w:tcMar>
            <w:shd w:fill="F4F7F5" w:val="clea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r>
              <w:rPr>
                <w:rFonts w:ascii="Liberation Sans" w:hAnsi="Liberation Sans" w:eastAsia="Liberation Sans"/>
                <w:b/>
                <w:color w:val="0E766E"/>
                <w:sz w:val="15"/>
              </w:rPr>
              <w:t>ENTIDAD LEGAL / CUIT</w:t>
            </w:r>
          </w:p>
          <w:p>
            <w:r>
              <w:rPr>
                <w:rFonts w:ascii="Liberation Sans" w:hAnsi="Liberation Sans" w:eastAsia="Liberation Sans"/>
                <w:b/>
                <w:color w:val="D97706"/>
                <w:sz w:val="20"/>
              </w:rPr>
              <w:t>[COMPLETAR]</w:t>
            </w:r>
          </w:p>
        </w:tc>
      </w:tr>
      <w:tr>
        <w:tc>
          <w:tcPr>
            <w:tcW w:type="dxa" w:w="5097"/>
            <w:tcMar>
              <w:top w:w="80" w:type="dxa"/>
              <w:start w:w="120" w:type="dxa"/>
              <w:bottom w:w="80" w:type="dxa"/>
              <w:end w:w="120" w:type="dxa"/>
            </w:tcMar>
            <w:shd w:fill="F4F7F5" w:val="clea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r>
              <w:rPr>
                <w:rFonts w:ascii="Liberation Sans" w:hAnsi="Liberation Sans" w:eastAsia="Liberation Sans"/>
                <w:b/>
                <w:color w:val="0E766E"/>
                <w:sz w:val="15"/>
              </w:rPr>
              <w:t>EMAIL / TELÉFONO</w:t>
            </w:r>
          </w:p>
          <w:p>
            <w:r>
              <w:rPr>
                <w:rFonts w:ascii="Liberation Sans" w:hAnsi="Liberation Sans" w:eastAsia="Liberation Sans"/>
                <w:b/>
                <w:color w:val="D97706"/>
                <w:sz w:val="20"/>
              </w:rPr>
              <w:t>[COMPLETAR]</w:t>
            </w:r>
          </w:p>
        </w:tc>
        <w:tc>
          <w:tcPr>
            <w:tcW w:type="dxa" w:w="5097"/>
            <w:tcMar>
              <w:top w:w="80" w:type="dxa"/>
              <w:start w:w="120" w:type="dxa"/>
              <w:bottom w:w="80" w:type="dxa"/>
              <w:end w:w="120" w:type="dxa"/>
            </w:tcMar>
            <w:shd w:fill="F4F7F5" w:val="clear"/>
            <w:tcBorders>
              <w:top w:val="single" w:sz="6" w:color="FFFFFF"/>
              <w:start w:val="single" w:sz="6" w:color="FFFFFF"/>
              <w:bottom w:val="single" w:sz="6" w:color="FFFFFF"/>
              <w:end w:val="single" w:sz="6" w:color="FFFFFF"/>
            </w:tcBorders>
          </w:tcPr>
          <w:p>
            <w:r>
              <w:rPr>
                <w:rFonts w:ascii="Liberation Sans" w:hAnsi="Liberation Sans" w:eastAsia="Liberation Sans"/>
                <w:b/>
                <w:color w:val="0E766E"/>
                <w:sz w:val="15"/>
              </w:rPr>
              <w:t>LINK A DEMO / DATA ROOM</w:t>
            </w:r>
          </w:p>
          <w:p>
            <w:r>
              <w:rPr>
                <w:rFonts w:ascii="Liberation Sans" w:hAnsi="Liberation Sans" w:eastAsia="Liberation Sans"/>
                <w:b/>
                <w:color w:val="D97706"/>
                <w:sz w:val="20"/>
              </w:rPr>
              <w:t>[COMPLETAR]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ANEXO A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Detalle de supuestos presupuestarios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Rangos para planificación; cotizar localmente y convertir a presupuesto mensual por rol/proveedor.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088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Partida</w:t>
            </w:r>
          </w:p>
        </w:tc>
        <w:tc>
          <w:tcPr>
            <w:tcW w:type="dxa" w:w="525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Incluye</w:t>
            </w:r>
          </w:p>
        </w:tc>
        <w:tc>
          <w:tcPr>
            <w:tcW w:type="dxa" w:w="296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Cautela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Producto/equipo</w:t>
            </w:r>
          </w:p>
        </w:tc>
        <w:tc>
          <w:tcPr>
            <w:tcW w:type="dxa" w:w="525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2-4 perfiles core, diseño/QA/DevOps; combinación de founders, empleados y contratistas.</w:t>
            </w:r>
          </w:p>
        </w:tc>
        <w:tc>
          <w:tcPr>
            <w:tcW w:type="dxa" w:w="29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incluye salarios de fundadores no informados.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Datos/IA</w:t>
            </w:r>
          </w:p>
        </w:tc>
        <w:tc>
          <w:tcPr>
            <w:tcW w:type="dxa" w:w="525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Geoespacial, calidad, calibración, evaluación, datasets y observabilidad de modelos.</w:t>
            </w:r>
          </w:p>
        </w:tc>
        <w:tc>
          <w:tcPr>
            <w:tcW w:type="dxa" w:w="29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presupone compra de imágenes satelitales premium.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Pilotos/hardware</w:t>
            </w:r>
          </w:p>
        </w:tc>
        <w:tc>
          <w:tcPr>
            <w:tcW w:type="dxa" w:w="525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Sensores, gateways, conectividad, instalación, viajes, reposición y soporte.</w:t>
            </w:r>
          </w:p>
        </w:tc>
        <w:tc>
          <w:tcPr>
            <w:tcW w:type="dxa" w:w="29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Varía fuertemente por territorio y evento.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Seguridad/legal</w:t>
            </w:r>
          </w:p>
        </w:tc>
        <w:tc>
          <w:tcPr>
            <w:tcW w:type="dxa" w:w="525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Sociedad, contratos, privacidad, DPA, IP, pentest, seguros y accesibilidad.</w:t>
            </w:r>
          </w:p>
        </w:tc>
        <w:tc>
          <w:tcPr>
            <w:tcW w:type="dxa" w:w="29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Puede aumentar por compras públicas/sectores regulados.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Go-to-market</w:t>
            </w:r>
          </w:p>
        </w:tc>
        <w:tc>
          <w:tcPr>
            <w:tcW w:type="dxa" w:w="525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Material, CRM, visitas, eventos, customer success, alianzas y procurement.</w:t>
            </w:r>
          </w:p>
        </w:tc>
        <w:tc>
          <w:tcPr>
            <w:tcW w:type="dxa" w:w="29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incluye comisiones extraordinarias no definidas.</w:t>
            </w:r>
          </w:p>
        </w:tc>
      </w:tr>
      <w:tr>
        <w:trPr>
          <w:cantSplit/>
        </w:trPr>
        <w:tc>
          <w:tcPr>
            <w:tcW w:type="dxa" w:w="2088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Cloud/ops</w:t>
            </w:r>
          </w:p>
        </w:tc>
        <w:tc>
          <w:tcPr>
            <w:tcW w:type="dxa" w:w="525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DB, almacenamiento, colas, monitoreo, backups, dominios y herramientas.</w:t>
            </w:r>
          </w:p>
        </w:tc>
        <w:tc>
          <w:tcPr>
            <w:tcW w:type="dxa" w:w="296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Requiere modelo por dispositivo/fuente.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6"/>
              </w:rPr>
              <w:t>Contingencia</w:t>
            </w:r>
          </w:p>
        </w:tc>
        <w:tc>
          <w:tcPr>
            <w:tcW w:type="dxa" w:w="525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FX, importación, demoras, hardware y correcciones.</w:t>
            </w:r>
          </w:p>
        </w:tc>
        <w:tc>
          <w:tcPr>
            <w:tcW w:type="dxa" w:w="296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6"/>
              </w:rPr>
              <w:t>No sustituye disciplina de cambios.</w:t>
            </w:r>
          </w:p>
        </w:tc>
      </w:tr>
    </w:tbl>
    <w:p>
      <w:pPr>
        <w:spacing w:after="20"/>
      </w:pPr>
    </w:p>
    <w:p>
      <w:pPr>
        <w:pStyle w:val="Heading2"/>
      </w:pPr>
      <w:r>
        <w:t>Presupuesto mensual recomendado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Construir un modelo de 24 meses con contratación por fecha, impuestos y moneda de pago.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Separar capex/hardware, COGS, I+D, ventas y G&amp;A.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Incluir calendario de cobro y capital de trabajo por compras públicas/corporativas.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Mantener escenarios lean/base/escala y una reserva no comprometida.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Reportar actual, budget, forecast y variance mensualmente.</w:t>
      </w:r>
    </w:p>
    <w:p>
      <w:r>
        <w:br w:type="page"/>
      </w:r>
    </w:p>
    <w:p>
      <w:pPr>
        <w:keepNext/>
        <w:spacing w:before="0" w:after="60"/>
      </w:pPr>
      <w:r>
        <w:rPr>
          <w:rFonts w:ascii="Liberation Sans" w:hAnsi="Liberation Sans" w:eastAsia="Liberation Sans"/>
          <w:b/>
          <w:color w:val="0E766E"/>
          <w:sz w:val="18"/>
        </w:rPr>
        <w:t>ANEXO B</w:t>
      </w:r>
      <w:r>
        <w:rPr>
          <w:rFonts w:ascii="Liberation Sans" w:hAnsi="Liberation Sans" w:eastAsia="Liberation Sans"/>
          <w:b/>
          <w:color w:val="0B1F2A"/>
          <w:sz w:val="44"/>
        </w:rPr>
        <w:t xml:space="preserve">  Fuentes, alcance y supuestos</w:t>
      </w:r>
    </w:p>
    <w:p>
      <w:pPr>
        <w:keepNext/>
        <w:spacing w:after="160"/>
      </w:pPr>
      <w:r>
        <w:rPr>
          <w:rFonts w:ascii="Liberation Sans" w:hAnsi="Liberation Sans" w:eastAsia="Liberation Sans"/>
          <w:color w:val="53636D"/>
          <w:sz w:val="20"/>
        </w:rPr>
        <w:t>Fuentes públicas consultadas al 23 de julio de 2026 y evidencia del repositorio.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0"/>
      </w:tblGrid>
      <w:tr>
        <w:trPr>
          <w:trHeight w:val="60" w:hRule="exact"/>
        </w:trPr>
        <w:tc>
          <w:tcPr>
            <w:tcW w:type="dxa" w:w="10310"/>
            <w:shd w:fill="0E766E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spacing w:after="40"/>
      </w:pPr>
    </w:p>
    <w:p>
      <w:pPr>
        <w:pStyle w:val="Heading2"/>
      </w:pPr>
      <w:r>
        <w:t>Fuentes externas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32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3671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4406"/>
            <w:shd w:fill="0B1F2A" w:val="clear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Fondo de Impacto VELA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Criterios, sectores, Serie A+, formulario y disclaimers.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17">
              <w:r>
                <w:rPr>
                  <w:color w:val="0E766E"/>
                  <w:u w:val="single"/>
                  <w:rFonts w:ascii="Liberation Sans" w:hAnsi="Liberation Sans"/>
                </w:rPr>
                <w:t>fondovela.com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CAF · lanzamiento VELA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Tamaño objetivo USD 100-150M, ancla y gestión.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6">
              <w:r>
                <w:rPr>
                  <w:color w:val="0E766E"/>
                  <w:u w:val="single"/>
                  <w:rFonts w:ascii="Liberation Sans" w:hAnsi="Liberation Sans"/>
                </w:rPr>
                <w:t>caf.com / lanzamiento VELA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CAF · creación FIIALC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Estrategia híbrida, verticales y verificación independiente.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7">
              <w:r>
                <w:rPr>
                  <w:color w:val="0E766E"/>
                  <w:u w:val="single"/>
                  <w:rFonts w:ascii="Liberation Sans" w:hAnsi="Liberation Sans"/>
                </w:rPr>
                <w:t>caf.com / FIIALC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Google Identity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Verificación backend de ID tokens.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8">
              <w:r>
                <w:rPr>
                  <w:color w:val="0E766E"/>
                  <w:u w:val="single"/>
                  <w:rFonts w:ascii="Liberation Sans" w:hAnsi="Liberation Sans"/>
                </w:rPr>
                <w:t>developers.google.com / verify-token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Silicon Misiones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Incubación, aceleración y acceso a inversores.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4">
              <w:r>
                <w:rPr>
                  <w:color w:val="0E766E"/>
                  <w:u w:val="single"/>
                  <w:rFonts w:ascii="Liberation Sans" w:hAnsi="Liberation Sans"/>
                </w:rPr>
                <w:t>siliconmisiones.gob.ar / startups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Posadas Startup 2026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Formación en financiamiento, inversión, legal y escala.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9">
              <w:r>
                <w:rPr>
                  <w:color w:val="0E766E"/>
                  <w:u w:val="single"/>
                  <w:rFonts w:ascii="Liberation Sans" w:hAnsi="Liberation Sans"/>
                </w:rPr>
                <w:t>posadas.gov.ar / startup-2026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Fondo de Crédito / MADE</w:t>
            </w:r>
          </w:p>
        </w:tc>
        <w:tc>
          <w:tcPr>
            <w:tcW w:type="dxa" w:w="3671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Asistencia, aceleración y vinculaciones.</w:t>
            </w:r>
          </w:p>
        </w:tc>
        <w:tc>
          <w:tcPr>
            <w:tcW w:type="dxa" w:w="4406"/>
            <w:shd w:fill="FFFFFF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5">
              <w:r>
                <w:rPr>
                  <w:color w:val="0E766E"/>
                  <w:u w:val="single"/>
                  <w:rFonts w:ascii="Liberation Sans" w:hAnsi="Liberation Sans"/>
                </w:rPr>
                <w:t>fondocreditomisiones.gob.ar / MADE</w:t>
              </w:r>
            </w:hyperlink>
          </w:p>
        </w:tc>
      </w:tr>
      <w:tr>
        <w:trPr>
          <w:cantSplit/>
        </w:trPr>
        <w:tc>
          <w:tcPr>
            <w:tcW w:type="dxa" w:w="2232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1D2A30"/>
                <w:sz w:val="14"/>
              </w:rPr>
              <w:t>BAC EmprendeIAE</w:t>
            </w:r>
          </w:p>
        </w:tc>
        <w:tc>
          <w:tcPr>
            <w:tcW w:type="dxa" w:w="3671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 w:val="0"/>
                <w:color w:val="1D2A30"/>
                <w:sz w:val="14"/>
              </w:rPr>
              <w:t>Tesis seed, ticket promedio y postulación.</w:t>
            </w:r>
          </w:p>
        </w:tc>
        <w:tc>
          <w:tcPr>
            <w:tcW w:type="dxa" w:w="4406"/>
            <w:shd w:fill="F4F7F5" w:val="clear"/>
            <w:tcMar>
              <w:top w:w="105" w:type="dxa"/>
              <w:start w:w="105" w:type="dxa"/>
              <w:bottom w:w="105" w:type="dxa"/>
              <w:end w:w="105" w:type="dxa"/>
            </w:tcMar>
            <w:vAlign w:val="center"/>
            <w:tcBorders>
              <w:top w:val="single" w:sz="5" w:color="E6EBE9"/>
              <w:start w:val="single" w:sz="5" w:color="E6EBE9"/>
              <w:bottom w:val="single" w:sz="5" w:color="E6EBE9"/>
              <w:end w:val="single" w:sz="5" w:color="E6EBE9"/>
            </w:tcBorders>
          </w:tcPr>
          <w:p>
            <w:pPr>
              <w:spacing w:after="0"/>
            </w:pPr>
            <w:r/>
            <w:hyperlink r:id="rId20">
              <w:r>
                <w:rPr>
                  <w:color w:val="0E766E"/>
                  <w:u w:val="single"/>
                  <w:rFonts w:ascii="Liberation Sans" w:hAnsi="Liberation Sans"/>
                </w:rPr>
                <w:t>businessangelsclub.org / fundadores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t>Fuentes internas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Código y documentación del proyecto EcoNexo recibido para esta preparación.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Pruebas API, compilación Python y chequeo TypeScript ejecutados en el entorno de trabajo.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Auditoría técnica y archivos README/AUDIT/SECURITY incluidos en el paquete final.</w:t>
      </w:r>
    </w:p>
    <w:p>
      <w:pPr>
        <w:pStyle w:val="Heading2"/>
      </w:pPr>
      <w:r>
        <w:t>Supuestos materiales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No se proporcionaron identidad de fundadores, sociedad, cap table, contratos, ingresos ni costos históricos.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Mercado, pricing, proyecciones, impacto y presupuesto son modelos ilustrativos y deben validarse.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No se identificó publicación de VELA que confirme un ticket USD 250-400k o una “Serie D”.</w:t>
      </w:r>
    </w:p>
    <w:p>
      <w:pPr>
        <w:pStyle w:val="EconexoBullet"/>
        <w:spacing w:after="80"/>
      </w:pPr>
      <w:r>
        <w:rPr>
          <w:rFonts w:ascii="Liberation Sans" w:hAnsi="Liberation Sans" w:eastAsia="Liberation Sans"/>
          <w:color w:val="1D2A30"/>
          <w:sz w:val="19"/>
        </w:rPr>
        <w:t>El documento no constituye oferta, asesoramiento legal/fiscal/financiero ni garantía de inversión.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144"/>
            <w:shd w:fill="76B947" w:val="clear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10166"/>
            <w:shd w:fill="0B1F2A" w:val="clear"/>
            <w:tcMar>
              <w:top w:w="125" w:type="dxa"/>
              <w:start w:w="180" w:type="dxa"/>
              <w:bottom w:w="130" w:type="dxa"/>
              <w:end w:w="180" w:type="dxa"/>
            </w:tcMar>
            <w:vAlign w:val="center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60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USO APROPIADO</w:t>
            </w:r>
          </w:p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color w:val="FFFFFF"/>
                <w:sz w:val="19"/>
              </w:rPr>
              <w:t>Este memo está diseñado para organizar una conversación y orientar la preparación. Antes de distribuirlo, un responsable debe verificar cada cifra, completar placeholders y aprobar la versión final.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65" w:bottom="835" w:left="965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55"/>
      <w:gridCol w:w="5155"/>
    </w:tblGrid>
    <w:tr>
      <w:tc>
        <w:tcPr>
          <w:tcW w:type="dxa" w:w="7776"/>
          <w:tcMar>
            <w:top w:w="25" w:type="dxa"/>
            <w:start w:w="0" w:type="dxa"/>
            <w:bottom w:w="0" w:type="dxa"/>
            <w:end w:w="0" w:type="dxa"/>
          </w:tcMar>
          <w:tcBorders>
            <w:top w:val="single" w:sz="8" w:color="E6EBE9"/>
          </w:tcBorders>
        </w:tcPr>
        <w:p>
          <w:pPr>
            <w:spacing w:after="0"/>
          </w:pPr>
          <w:r>
            <w:rPr>
              <w:rFonts w:ascii="Liberation Sans" w:hAnsi="Liberation Sans" w:eastAsia="Liberation Sans"/>
              <w:color w:val="53636D"/>
              <w:sz w:val="15"/>
            </w:rPr>
            <w:t>Documento de trabajo · supuestos sujetos a validación y due diligence</w:t>
          </w:r>
        </w:p>
      </w:tc>
      <w:tc>
        <w:tcPr>
          <w:tcW w:type="dxa" w:w="2534"/>
          <w:tcMar>
            <w:top w:w="25" w:type="dxa"/>
            <w:start w:w="0" w:type="dxa"/>
            <w:bottom w:w="0" w:type="dxa"/>
            <w:end w:w="0" w:type="dxa"/>
          </w:tcMar>
          <w:tcBorders>
            <w:top w:val="single" w:sz="8" w:color="E6EBE9"/>
          </w:tcBorders>
        </w:tcPr>
        <w:p>
          <w:pPr>
            <w:jc w:val="right"/>
          </w:pPr>
          <w:r>
            <w:rPr>
              <w:rFonts w:ascii="Liberation Sans" w:hAnsi="Liberation Sans" w:eastAsia="Liberation Sans"/>
              <w:b/>
              <w:color w:val="53636D"/>
              <w:sz w:val="16"/>
            </w:rPr>
            <w:t xml:space="preserve">PÁG.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55"/>
      <w:gridCol w:w="5155"/>
    </w:tblGrid>
    <w:tr>
      <w:tc>
        <w:tcPr>
          <w:tcW w:type="dxa" w:w="6192"/>
          <w:tcMar>
            <w:top w:w="0" w:type="dxa"/>
            <w:start w:w="0" w:type="dxa"/>
            <w:bottom w:w="20" w:type="dxa"/>
            <w:end w:w="0" w:type="dxa"/>
          </w:tcMar>
          <w:tcBorders>
            <w:bottom w:val="single" w:sz="8" w:color="E6EBE9"/>
          </w:tcBorders>
        </w:tcPr>
        <w:p>
          <w:pPr>
            <w:spacing w:after="20"/>
          </w:pPr>
          <w:r>
            <w:rPr>
              <w:rFonts w:ascii="Liberation Sans" w:hAnsi="Liberation Sans" w:eastAsia="Liberation Sans"/>
              <w:b/>
              <w:color w:val="0B1F2A"/>
              <w:sz w:val="17"/>
            </w:rPr>
            <w:t>ECO</w:t>
          </w:r>
          <w:r>
            <w:rPr>
              <w:rFonts w:ascii="Liberation Sans" w:hAnsi="Liberation Sans" w:eastAsia="Liberation Sans"/>
              <w:b/>
              <w:color w:val="76B947"/>
              <w:sz w:val="17"/>
            </w:rPr>
            <w:t>NEXO</w:t>
          </w:r>
          <w:r>
            <w:rPr>
              <w:rFonts w:ascii="Liberation Sans" w:hAnsi="Liberation Sans" w:eastAsia="Liberation Sans"/>
              <w:b/>
              <w:color w:val="53636D"/>
              <w:sz w:val="16"/>
            </w:rPr>
            <w:t xml:space="preserve">  |  MEMORANDO DE INVERSIÓN</w:t>
          </w:r>
        </w:p>
      </w:tc>
      <w:tc>
        <w:tcPr>
          <w:tcW w:type="dxa" w:w="4118"/>
          <w:tcMar>
            <w:top w:w="0" w:type="dxa"/>
            <w:start w:w="0" w:type="dxa"/>
            <w:bottom w:w="20" w:type="dxa"/>
            <w:end w:w="0" w:type="dxa"/>
          </w:tcMar>
          <w:tcBorders>
            <w:bottom w:val="single" w:sz="8" w:color="E6EBE9"/>
          </w:tcBorders>
        </w:tcPr>
        <w:p>
          <w:pPr>
            <w:spacing w:after="20"/>
            <w:jc w:val="right"/>
          </w:pPr>
          <w:r>
            <w:rPr>
              <w:rFonts w:ascii="Liberation Sans" w:hAnsi="Liberation Sans" w:eastAsia="Liberation Sans"/>
              <w:b/>
              <w:color w:val="53636D"/>
              <w:sz w:val="16"/>
            </w:rPr>
            <w:t>CONFIDENCIAL · 23 JUL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Liberation Sans" w:hAnsi="Liberation Sans"/>
      <w:color w:val="1D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B1F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6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B1F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conexoBullet">
    <w:name w:val="Econexo Bullet"/>
    <w:basedOn w:val="Normal"/>
    <w:pPr>
      <w:spacing w:after="80"/>
      <w:ind w:left="331" w:hanging="202"/>
    </w:pPr>
    <w:rPr>
      <w:rFonts w:ascii="Liberation Sans" w:hAnsi="Liberation Sans"/>
    </w:rPr>
  </w:style>
  <w:style w:type="paragraph" w:customStyle="1" w:styleId="EconexoBullet2">
    <w:name w:val="Econexo Bullet 2"/>
    <w:basedOn w:val="Normal"/>
    <w:pPr>
      <w:spacing w:after="60"/>
      <w:ind w:left="662" w:hanging="202"/>
    </w:pPr>
    <w:rPr>
      <w:rFonts w:ascii="Liberation Sans" w:hAnsi="Liberation San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fondovela.com/" TargetMode="External"/><Relationship Id="rId18" Type="http://schemas.openxmlformats.org/officeDocument/2006/relationships/hyperlink" Target="https://docs.google.com/forms/d/e/1FAIpQLSc-TC87OJK5IzlazIlVVHr552vXLl_D_2SqhIhT4YKP06JJ5g/viewform?usp=header" TargetMode="External"/><Relationship Id="rId19" Type="http://schemas.openxmlformats.org/officeDocument/2006/relationships/hyperlink" Target="https://sonencapital.com/contact/" TargetMode="External"/><Relationship Id="rId20" Type="http://schemas.openxmlformats.org/officeDocument/2006/relationships/hyperlink" Target="https://businessangelsclub.org/para-fundadores.html" TargetMode="External"/><Relationship Id="rId21" Type="http://schemas.openxmlformats.org/officeDocument/2006/relationships/hyperlink" Target="https://www.fidban.com/emprendedores" TargetMode="External"/><Relationship Id="rId22" Type="http://schemas.openxmlformats.org/officeDocument/2006/relationships/hyperlink" Target="https://emprear.org.ar/business-angels/" TargetMode="External"/><Relationship Id="rId23" Type="http://schemas.openxmlformats.org/officeDocument/2006/relationships/hyperlink" Target="https://addventureclub.com/" TargetMode="External"/><Relationship Id="rId24" Type="http://schemas.openxmlformats.org/officeDocument/2006/relationships/hyperlink" Target="https://siliconmisiones.gob.ar/acompanamos-startups/" TargetMode="External"/><Relationship Id="rId25" Type="http://schemas.openxmlformats.org/officeDocument/2006/relationships/hyperlink" Target="https://fondocreditomisiones.gob.ar/asistencia-tecnica/" TargetMode="External"/><Relationship Id="rId26" Type="http://schemas.openxmlformats.org/officeDocument/2006/relationships/hyperlink" Target="https://www.caf.com/es/actualidad/noticias/caf-lanza-fondo-vela-para-impulsar-empresas-con-impacto-social-y-ambiental-en-america-latina-y-el-caribe/" TargetMode="External"/><Relationship Id="rId27" Type="http://schemas.openxmlformats.org/officeDocument/2006/relationships/hyperlink" Target="https://www.caf.com/es/actualidad/noticias/caf-crea-el-primer-fondo-de-inversion-de-impacto-regional/" TargetMode="External"/><Relationship Id="rId28" Type="http://schemas.openxmlformats.org/officeDocument/2006/relationships/hyperlink" Target="https://developers.google.com/identity/gsi/web/guides/verify-google-id-token" TargetMode="External"/><Relationship Id="rId29" Type="http://schemas.openxmlformats.org/officeDocument/2006/relationships/hyperlink" Target="https://posadas.gov.ar/3290952DCC1E3F03ABB82007D32928B8/noticiash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EcoNexo - Memorando de inversión y hoja de ruta de elegibilidad VELA</dc:title>
  <dc:subject>Ronda puente USD 250.000-400.000 para desarrollo 0-1</dc:subject>
  <dc:creator>EcoNexo - documento preparado para evaluación</dc:creator>
  <cp:keywords>EcoNexo, VELA, impacto, biodiversidad, climate tech, inversión</cp:keywords>
  <dc:description>Cifras ilustrativas; completar información societaria y del equipo.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