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Arial" w:hAnsi="Arial"/>
          <w:b/>
          <w:color w:val="1F4E79"/>
          <w:sz w:val="36"/>
        </w:rPr>
        <w:t>SPACEAI</w:t>
      </w:r>
    </w:p>
    <w:p>
      <w:pPr>
        <w:jc w:val="center"/>
      </w:pPr>
      <w:r>
        <w:rPr>
          <w:rFonts w:ascii="Arial" w:hAnsi="Arial"/>
          <w:b/>
          <w:color w:val="1F4E79"/>
          <w:sz w:val="44"/>
        </w:rPr>
        <w:t>Indicadores ambientales de amenaza con potencial de crisis sanitaria</w:t>
      </w:r>
    </w:p>
    <w:p>
      <w:pPr>
        <w:jc w:val="center"/>
      </w:pPr>
      <w:r>
        <w:rPr>
          <w:rFonts w:ascii="Arial" w:hAnsi="Arial"/>
          <w:color w:val="444444"/>
          <w:sz w:val="26"/>
        </w:rPr>
        <w:t>Matriz de umbrales, porcentajes críticos, patologías asociadas y modelo de scoring para sistemas de alerta temprana</w:t>
      </w:r>
    </w:p>
    <w:p/>
    <w:p/>
    <w:tbl>
      <w:tblPr>
        <w:tblStyle w:val="TableGrid"/>
        <w:tblW w:type="auto" w:w="0"/>
        <w:jc w:val="center"/>
        <w:tblLook w:firstColumn="1" w:firstRow="1" w:lastColumn="0" w:lastRow="0" w:noHBand="0" w:noVBand="1" w:val="04A0"/>
      </w:tblPr>
      <w:tblGrid>
        <w:gridCol w:w="5018"/>
        <w:gridCol w:w="5018"/>
      </w:tblGrid>
      <w:tr>
        <w:tc>
          <w:tcPr>
            <w:tcW w:type="dxa" w:w="5018"/>
            <w:vAlign w:val="center"/>
            <w:tcMar>
              <w:top w:w="100" w:type="dxa"/>
              <w:start w:w="120" w:type="dxa"/>
              <w:bottom w:w="100" w:type="dxa"/>
              <w:end w:w="120" w:type="dxa"/>
            </w:tcMar>
            <w:shd w:fill="D9EAF7"/>
          </w:tcPr>
          <w:p>
            <w:pPr>
              <w:jc w:val="left"/>
            </w:pPr>
            <w:r/>
            <w:r>
              <w:rPr>
                <w:b/>
                <w:sz w:val="19"/>
              </w:rPr>
              <w:t>Tipo de documento</w:t>
            </w:r>
          </w:p>
        </w:tc>
        <w:tc>
          <w:tcPr>
            <w:tcW w:type="dxa" w:w="5018"/>
            <w:vAlign w:val="center"/>
            <w:tcMar>
              <w:top w:w="100" w:type="dxa"/>
              <w:start w:w="120" w:type="dxa"/>
              <w:bottom w:w="100" w:type="dxa"/>
              <w:end w:w="120" w:type="dxa"/>
            </w:tcMar>
          </w:tcPr>
          <w:p>
            <w:pPr>
              <w:jc w:val="left"/>
            </w:pPr>
            <w:r/>
            <w:r>
              <w:rPr>
                <w:b w:val="0"/>
                <w:sz w:val="19"/>
              </w:rPr>
              <w:t>Documento técnico-científico desarrollado</w:t>
            </w:r>
          </w:p>
        </w:tc>
      </w:tr>
      <w:tr>
        <w:tc>
          <w:tcPr>
            <w:tcW w:type="dxa" w:w="5018"/>
            <w:vAlign w:val="center"/>
            <w:tcMar>
              <w:top w:w="100" w:type="dxa"/>
              <w:start w:w="120" w:type="dxa"/>
              <w:bottom w:w="100" w:type="dxa"/>
              <w:end w:w="120" w:type="dxa"/>
            </w:tcMar>
            <w:shd w:fill="D9EAF7"/>
          </w:tcPr>
          <w:p>
            <w:pPr>
              <w:jc w:val="left"/>
            </w:pPr>
            <w:r/>
            <w:r>
              <w:rPr>
                <w:b/>
                <w:sz w:val="19"/>
              </w:rPr>
              <w:t>Uso previsto</w:t>
            </w:r>
          </w:p>
        </w:tc>
        <w:tc>
          <w:tcPr>
            <w:tcW w:type="dxa" w:w="5018"/>
            <w:vAlign w:val="center"/>
            <w:tcMar>
              <w:top w:w="100" w:type="dxa"/>
              <w:start w:w="120" w:type="dxa"/>
              <w:bottom w:w="100" w:type="dxa"/>
              <w:end w:w="120" w:type="dxa"/>
            </w:tcMar>
          </w:tcPr>
          <w:p>
            <w:pPr>
              <w:jc w:val="left"/>
            </w:pPr>
            <w:r/>
            <w:r>
              <w:rPr>
                <w:b w:val="0"/>
                <w:sz w:val="19"/>
              </w:rPr>
              <w:t>Soporte para vigilancia ambiental, priorización geoespacial y alerta temprana en salud pública</w:t>
            </w:r>
          </w:p>
        </w:tc>
      </w:tr>
      <w:tr>
        <w:tc>
          <w:tcPr>
            <w:tcW w:type="dxa" w:w="5018"/>
            <w:vAlign w:val="center"/>
            <w:tcMar>
              <w:top w:w="100" w:type="dxa"/>
              <w:start w:w="120" w:type="dxa"/>
              <w:bottom w:w="100" w:type="dxa"/>
              <w:end w:w="120" w:type="dxa"/>
            </w:tcMar>
            <w:shd w:fill="D9EAF7"/>
          </w:tcPr>
          <w:p>
            <w:pPr>
              <w:jc w:val="left"/>
            </w:pPr>
            <w:r/>
            <w:r>
              <w:rPr>
                <w:b/>
                <w:sz w:val="19"/>
              </w:rPr>
              <w:t>Versión</w:t>
            </w:r>
          </w:p>
        </w:tc>
        <w:tc>
          <w:tcPr>
            <w:tcW w:type="dxa" w:w="5018"/>
            <w:vAlign w:val="center"/>
            <w:tcMar>
              <w:top w:w="100" w:type="dxa"/>
              <w:start w:w="120" w:type="dxa"/>
              <w:bottom w:w="100" w:type="dxa"/>
              <w:end w:w="120" w:type="dxa"/>
            </w:tcMar>
          </w:tcPr>
          <w:p>
            <w:pPr>
              <w:jc w:val="left"/>
            </w:pPr>
            <w:r/>
            <w:r>
              <w:rPr>
                <w:b w:val="0"/>
                <w:sz w:val="19"/>
              </w:rPr>
              <w:t>1.0</w:t>
            </w:r>
          </w:p>
        </w:tc>
      </w:tr>
      <w:tr>
        <w:tc>
          <w:tcPr>
            <w:tcW w:type="dxa" w:w="5018"/>
            <w:vAlign w:val="center"/>
            <w:tcMar>
              <w:top w:w="100" w:type="dxa"/>
              <w:start w:w="120" w:type="dxa"/>
              <w:bottom w:w="100" w:type="dxa"/>
              <w:end w:w="120" w:type="dxa"/>
            </w:tcMar>
            <w:shd w:fill="D9EAF7"/>
          </w:tcPr>
          <w:p>
            <w:pPr>
              <w:jc w:val="left"/>
            </w:pPr>
            <w:r/>
            <w:r>
              <w:rPr>
                <w:b/>
                <w:sz w:val="19"/>
              </w:rPr>
              <w:t>Fecha</w:t>
            </w:r>
          </w:p>
        </w:tc>
        <w:tc>
          <w:tcPr>
            <w:tcW w:type="dxa" w:w="5018"/>
            <w:vAlign w:val="center"/>
            <w:tcMar>
              <w:top w:w="100" w:type="dxa"/>
              <w:start w:w="120" w:type="dxa"/>
              <w:bottom w:w="100" w:type="dxa"/>
              <w:end w:w="120" w:type="dxa"/>
            </w:tcMar>
          </w:tcPr>
          <w:p>
            <w:pPr>
              <w:jc w:val="left"/>
            </w:pPr>
            <w:r/>
            <w:r>
              <w:rPr>
                <w:b w:val="0"/>
                <w:sz w:val="19"/>
              </w:rPr>
              <w:t>3 de junio de 2026</w:t>
            </w:r>
          </w:p>
        </w:tc>
      </w:tr>
      <w:tr>
        <w:tc>
          <w:tcPr>
            <w:tcW w:type="dxa" w:w="5018"/>
            <w:vAlign w:val="center"/>
            <w:tcMar>
              <w:top w:w="100" w:type="dxa"/>
              <w:start w:w="120" w:type="dxa"/>
              <w:bottom w:w="100" w:type="dxa"/>
              <w:end w:w="120" w:type="dxa"/>
            </w:tcMar>
            <w:shd w:fill="D9EAF7"/>
          </w:tcPr>
          <w:p>
            <w:pPr>
              <w:jc w:val="left"/>
            </w:pPr>
            <w:r/>
            <w:r>
              <w:rPr>
                <w:b/>
                <w:sz w:val="19"/>
              </w:rPr>
              <w:t>Nota técnica</w:t>
            </w:r>
          </w:p>
        </w:tc>
        <w:tc>
          <w:tcPr>
            <w:tcW w:type="dxa" w:w="5018"/>
            <w:vAlign w:val="center"/>
            <w:tcMar>
              <w:top w:w="100" w:type="dxa"/>
              <w:start w:w="120" w:type="dxa"/>
              <w:bottom w:w="100" w:type="dxa"/>
              <w:end w:w="120" w:type="dxa"/>
            </w:tcMar>
          </w:tcPr>
          <w:p>
            <w:pPr>
              <w:jc w:val="left"/>
            </w:pPr>
            <w:r/>
            <w:r>
              <w:rPr>
                <w:b w:val="0"/>
                <w:sz w:val="19"/>
              </w:rPr>
              <w:t>Los umbrales se usan como referencias sanitarias y operativas; no sustituyen regulaciones nacionales ni evaluación clínica individual.</w:t>
            </w:r>
          </w:p>
        </w:tc>
      </w:tr>
    </w:tbl>
    <w:p/>
    <w:p/>
    <w:p/>
    <w:p/>
    <w:p/>
    <w:p/>
    <w:p/>
    <w:p>
      <w:pPr>
        <w:jc w:val="center"/>
      </w:pPr>
      <w:r>
        <w:rPr>
          <w:rFonts w:ascii="Arial" w:hAnsi="Arial"/>
          <w:i/>
          <w:sz w:val="20"/>
        </w:rPr>
        <w:t>Elaborado para el proyecto SpaceAI</w:t>
      </w:r>
    </w:p>
    <w:p>
      <w:r>
        <w:br w:type="page"/>
      </w:r>
    </w:p>
    <w:p>
      <w:pPr>
        <w:pStyle w:val="Heading1"/>
      </w:pPr>
      <w:r>
        <w:rPr>
          <w:rFonts w:ascii="Arial" w:hAnsi="Arial" w:eastAsia="Arial"/>
          <w:color w:val="1F4E79"/>
        </w:rPr>
        <w:t>Índice técnico</w:t>
      </w:r>
    </w:p>
    <w:p>
      <w:pPr>
        <w:pStyle w:val="ListBullet"/>
      </w:pPr>
      <w:r>
        <w:rPr>
          <w:rFonts w:ascii="Arial" w:hAnsi="Arial" w:eastAsia="Arial"/>
        </w:rPr>
        <w:t>Resumen</w:t>
      </w:r>
    </w:p>
    <w:p>
      <w:pPr>
        <w:pStyle w:val="ListBullet"/>
      </w:pPr>
      <w:r>
        <w:rPr>
          <w:rFonts w:ascii="Arial" w:hAnsi="Arial" w:eastAsia="Arial"/>
        </w:rPr>
        <w:t>Palabras clave</w:t>
      </w:r>
    </w:p>
    <w:p>
      <w:pPr>
        <w:pStyle w:val="ListBullet"/>
      </w:pPr>
      <w:r>
        <w:rPr>
          <w:rFonts w:ascii="Arial" w:hAnsi="Arial" w:eastAsia="Arial"/>
        </w:rPr>
        <w:t>1. Introducción</w:t>
      </w:r>
    </w:p>
    <w:p>
      <w:pPr>
        <w:pStyle w:val="ListBullet"/>
      </w:pPr>
      <w:r>
        <w:rPr>
          <w:rFonts w:ascii="Arial" w:hAnsi="Arial" w:eastAsia="Arial"/>
        </w:rPr>
        <w:t>2. Objetivo y alcance</w:t>
      </w:r>
    </w:p>
    <w:p>
      <w:pPr>
        <w:pStyle w:val="ListBullet"/>
      </w:pPr>
      <w:r>
        <w:rPr>
          <w:rFonts w:ascii="Arial" w:hAnsi="Arial" w:eastAsia="Arial"/>
        </w:rPr>
        <w:t>3. Metodología de selección y normalización de umbrales</w:t>
      </w:r>
    </w:p>
    <w:p>
      <w:pPr>
        <w:pStyle w:val="ListBullet"/>
      </w:pPr>
      <w:r>
        <w:rPr>
          <w:rFonts w:ascii="Arial" w:hAnsi="Arial" w:eastAsia="Arial"/>
        </w:rPr>
        <w:t>4. Matriz general de severidad SpaceAI</w:t>
      </w:r>
    </w:p>
    <w:p>
      <w:pPr>
        <w:pStyle w:val="ListBullet"/>
      </w:pPr>
      <w:r>
        <w:rPr>
          <w:rFonts w:ascii="Arial" w:hAnsi="Arial" w:eastAsia="Arial"/>
        </w:rPr>
        <w:t>5. Resultados por dominio ambiental</w:t>
      </w:r>
    </w:p>
    <w:p>
      <w:pPr>
        <w:pStyle w:val="ListBullet"/>
      </w:pPr>
      <w:r>
        <w:rPr>
          <w:rFonts w:ascii="Arial" w:hAnsi="Arial" w:eastAsia="Arial"/>
        </w:rPr>
        <w:t>5.1 Calidad del aire exterior</w:t>
      </w:r>
    </w:p>
    <w:p>
      <w:pPr>
        <w:pStyle w:val="ListBullet"/>
      </w:pPr>
      <w:r>
        <w:rPr>
          <w:rFonts w:ascii="Arial" w:hAnsi="Arial" w:eastAsia="Arial"/>
        </w:rPr>
        <w:t>5.2 Calidad de agua y cianotoxinas</w:t>
      </w:r>
    </w:p>
    <w:p>
      <w:pPr>
        <w:pStyle w:val="ListBullet"/>
      </w:pPr>
      <w:r>
        <w:rPr>
          <w:rFonts w:ascii="Arial" w:hAnsi="Arial" w:eastAsia="Arial"/>
        </w:rPr>
        <w:t>5.3 Estrés térmico, sequía, inundación y clima</w:t>
      </w:r>
    </w:p>
    <w:p>
      <w:pPr>
        <w:pStyle w:val="ListBullet"/>
      </w:pPr>
      <w:r>
        <w:rPr>
          <w:rFonts w:ascii="Arial" w:hAnsi="Arial" w:eastAsia="Arial"/>
        </w:rPr>
        <w:t>5.4 Radiación, ruido y ambiente construido</w:t>
      </w:r>
    </w:p>
    <w:p>
      <w:pPr>
        <w:pStyle w:val="ListBullet"/>
      </w:pPr>
      <w:r>
        <w:rPr>
          <w:rFonts w:ascii="Arial" w:hAnsi="Arial" w:eastAsia="Arial"/>
        </w:rPr>
        <w:t>5.5 Gases tóxicos y exposiciones agudas</w:t>
      </w:r>
    </w:p>
    <w:p>
      <w:pPr>
        <w:pStyle w:val="ListBullet"/>
      </w:pPr>
      <w:r>
        <w:rPr>
          <w:rFonts w:ascii="Arial" w:hAnsi="Arial" w:eastAsia="Arial"/>
        </w:rPr>
        <w:t>5.6 Indicadores eco-epidemiológicos de vectores</w:t>
      </w:r>
    </w:p>
    <w:p>
      <w:pPr>
        <w:pStyle w:val="ListBullet"/>
      </w:pPr>
      <w:r>
        <w:rPr>
          <w:rFonts w:ascii="Arial" w:hAnsi="Arial" w:eastAsia="Arial"/>
        </w:rPr>
        <w:t>6. Integración operacional para SpaceAI</w:t>
      </w:r>
    </w:p>
    <w:p>
      <w:pPr>
        <w:pStyle w:val="ListBullet"/>
      </w:pPr>
      <w:r>
        <w:rPr>
          <w:rFonts w:ascii="Arial" w:hAnsi="Arial" w:eastAsia="Arial"/>
        </w:rPr>
        <w:t>7. Limitaciones técnicas</w:t>
      </w:r>
    </w:p>
    <w:p>
      <w:pPr>
        <w:pStyle w:val="ListBullet"/>
      </w:pPr>
      <w:r>
        <w:rPr>
          <w:rFonts w:ascii="Arial" w:hAnsi="Arial" w:eastAsia="Arial"/>
        </w:rPr>
        <w:t>8. Conclusiones</w:t>
      </w:r>
    </w:p>
    <w:p>
      <w:pPr>
        <w:pStyle w:val="ListBullet"/>
      </w:pPr>
      <w:r>
        <w:rPr>
          <w:rFonts w:ascii="Arial" w:hAnsi="Arial" w:eastAsia="Arial"/>
        </w:rPr>
        <w:t>9. Referencias</w:t>
      </w:r>
    </w:p>
    <w:p>
      <w:pPr>
        <w:pStyle w:val="ListBullet"/>
      </w:pPr>
      <w:r>
        <w:rPr>
          <w:rFonts w:ascii="Arial" w:hAnsi="Arial" w:eastAsia="Arial"/>
        </w:rPr>
        <w:t>Anexo A. Diccionario mínimo de variables para ingestión en SpaceAI</w:t>
      </w:r>
    </w:p>
    <w:p>
      <w:r>
        <w:br w:type="page"/>
      </w:r>
    </w:p>
    <w:p>
      <w:pPr>
        <w:pStyle w:val="Heading1"/>
      </w:pPr>
      <w:r>
        <w:rPr>
          <w:rFonts w:ascii="Arial" w:hAnsi="Arial" w:eastAsia="Arial"/>
          <w:color w:val="1F4E79"/>
        </w:rPr>
        <w:t>Resumen</w:t>
      </w:r>
    </w:p>
    <w:p>
      <w:r>
        <w:rPr>
          <w:rFonts w:ascii="Arial" w:hAnsi="Arial" w:eastAsia="Arial"/>
        </w:rPr>
        <w:t>Las crisis sanitarias de origen ambiental pueden emerger cuando contaminantes atmosféricos, contaminantes del agua, estrés térmico, radiación, humedad, gases tóxicos o condiciones eco-epidemiológicas superan rangos de tolerancia biológica y operacional. Este documento sistematiza indicadores ambientales cuantificables que SpaceAI puede incorporar como variables de alerta temprana, vinculando umbrales de referencia, porcentajes de excedencia y patologías plausibles según literatura normativa y científica.</w:t>
      </w:r>
    </w:p>
    <w:p>
      <w:r>
        <w:rPr>
          <w:rFonts w:ascii="Arial" w:hAnsi="Arial" w:eastAsia="Arial"/>
        </w:rPr>
        <w:t>Se revisaron guías y bases técnicas de organismos internacionales y agencias públicas, priorizando OMS/WHO, EPA/AirNow, NOAA/National Weather Service, CDC/NIOSH, WMO y PAHO. Los valores se normalizaron mediante un índice relativo de excedencia: valor observado dividido por el valor de referencia sanitario, multiplicado por 100. Se propone considerar como evento crítico operativo todo registro mayor o igual a 200% del umbral de referencia, salvo indicadores que poseen escalas oficiales no lineales o umbrales binarios, como E. coli, AQI, índice UV, ruido en dB, IDLH y categorías de calor extremo.</w:t>
      </w:r>
    </w:p>
    <w:p>
      <w:r>
        <w:rPr>
          <w:rFonts w:ascii="Arial" w:hAnsi="Arial" w:eastAsia="Arial"/>
        </w:rPr>
        <w:t>Los resultados muestran que la mayor capacidad de anticipación de crisis se obtiene combinando dominios: aire exterior, agua potable/superficial, clima extremo, ambiente construido, exposiciones químicas agudas y aptitud eco-climática para vectores. La interpretación sanitaria debe ajustarse por duración, población vulnerable, densidad poblacional, incertidumbre de medición y co-exposición.</w:t>
      </w:r>
    </w:p>
    <w:p>
      <w:pPr>
        <w:pStyle w:val="Heading2"/>
      </w:pPr>
      <w:r>
        <w:rPr>
          <w:rFonts w:ascii="Arial" w:hAnsi="Arial" w:eastAsia="Arial"/>
          <w:color w:val="2F75B5"/>
        </w:rPr>
        <w:t>Palabras clave</w:t>
      </w:r>
    </w:p>
    <w:p>
      <w:r>
        <w:rPr>
          <w:rFonts w:ascii="Arial" w:hAnsi="Arial" w:eastAsia="Arial"/>
        </w:rPr>
        <w:t>Salud ambiental; alerta temprana; SpaceAI; contaminación atmosférica; agua segura; estrés térmico; dengue; cianobacterias; radón; riesgo sanitario; inteligencia geoespacial.</w:t>
      </w:r>
    </w:p>
    <w:p>
      <w:pPr>
        <w:pStyle w:val="Heading1"/>
      </w:pPr>
      <w:r>
        <w:rPr>
          <w:rFonts w:ascii="Arial" w:hAnsi="Arial" w:eastAsia="Arial"/>
          <w:color w:val="1F4E79"/>
        </w:rPr>
        <w:t>1. Introducción</w:t>
      </w:r>
    </w:p>
    <w:p>
      <w:r>
        <w:rPr>
          <w:rFonts w:ascii="Arial" w:hAnsi="Arial" w:eastAsia="Arial"/>
        </w:rPr>
        <w:t>La salud pública ambiental depende de la estabilidad de sistemas físicos, químicos y biológicos. Cuando el aire, el agua, el microclima, el ambiente construido o los ecosistemas vectoriales cambian en forma intensa o sostenida, se activan rutas de exposición que pueden traducirse en aumento de consultas, brotes, internaciones o mortalidad. La OMS considera la contaminación del aire un factor de riesgo para enfermedades no transmisibles como cardiopatía isquémica, accidente cerebrovascular, EPOC, asma y cáncer, y sus guías globales establecen niveles de referencia para PM2.5, PM10, ozono, dióxido de nitrógeno, dióxido de azufre y monóxido de carbono [1].</w:t>
      </w:r>
    </w:p>
    <w:p>
      <w:r>
        <w:rPr>
          <w:rFonts w:ascii="Arial" w:hAnsi="Arial" w:eastAsia="Arial"/>
        </w:rPr>
        <w:t>Para un sistema como SpaceAI, la utilidad no reside solo en detectar la superación aislada de un umbral, sino en construir un marco integrado que permita transformar mediciones ambientales en señales de amenaza sanitaria accionables. Este documento adopta una lógica de epidemiología ambiental aplicada: identifica indicadores, define umbrales, calcula porcentajes de excedencia y relaciona exposiciones con desenlaces clínicos esperados.</w:t>
      </w:r>
    </w:p>
    <w:p>
      <w:pPr>
        <w:pStyle w:val="Heading1"/>
      </w:pPr>
      <w:r>
        <w:rPr>
          <w:rFonts w:ascii="Arial" w:hAnsi="Arial" w:eastAsia="Arial"/>
          <w:color w:val="1F4E79"/>
        </w:rPr>
        <w:t>2. Objetivo y alcance</w:t>
      </w:r>
    </w:p>
    <w:p>
      <w:r>
        <w:rPr>
          <w:rFonts w:ascii="Arial" w:hAnsi="Arial" w:eastAsia="Arial"/>
        </w:rPr>
        <w:t>Objetivo general: establecer una matriz técnico-científica de indicadores ambientales de amenaza con capacidad de generar crisis sanitarias, útil para ingestión, scoring y priorización geoespacial dentro de SpaceAI.</w:t>
      </w:r>
    </w:p>
    <w:p>
      <w:r>
        <w:rPr>
          <w:rFonts w:ascii="Arial" w:hAnsi="Arial" w:eastAsia="Arial"/>
        </w:rPr>
        <w:t>Objetivos específicos:</w:t>
      </w:r>
    </w:p>
    <w:p>
      <w:pPr>
        <w:pStyle w:val="ListBullet"/>
      </w:pPr>
      <w:r>
        <w:rPr>
          <w:rFonts w:ascii="Arial" w:hAnsi="Arial" w:eastAsia="Arial"/>
        </w:rPr>
        <w:t>Identificar variables ambientales medibles por sensores, laboratorios, estaciones meteorológicas, modelos o teledetección.</w:t>
      </w:r>
    </w:p>
    <w:p>
      <w:pPr>
        <w:pStyle w:val="ListBullet"/>
      </w:pPr>
      <w:r>
        <w:rPr>
          <w:rFonts w:ascii="Arial" w:hAnsi="Arial" w:eastAsia="Arial"/>
        </w:rPr>
        <w:t>Definir umbrales de referencia sanitarios y su conversión a porcentajes operativos de alerta, amenaza alta y condición crítica.</w:t>
      </w:r>
    </w:p>
    <w:p>
      <w:pPr>
        <w:pStyle w:val="ListBullet"/>
      </w:pPr>
      <w:r>
        <w:rPr>
          <w:rFonts w:ascii="Arial" w:hAnsi="Arial" w:eastAsia="Arial"/>
        </w:rPr>
        <w:t>Relacionar cada indicador con patologías o síndromes de relevancia epidemiológica.</w:t>
      </w:r>
    </w:p>
    <w:p>
      <w:pPr>
        <w:pStyle w:val="ListBullet"/>
      </w:pPr>
      <w:r>
        <w:rPr>
          <w:rFonts w:ascii="Arial" w:hAnsi="Arial" w:eastAsia="Arial"/>
        </w:rPr>
        <w:t>Proponer reglas de integración para un modelo de alerta temprana multicapa.</w:t>
      </w:r>
    </w:p>
    <w:p>
      <w:r>
        <w:rPr>
          <w:rFonts w:ascii="Arial" w:hAnsi="Arial" w:eastAsia="Arial"/>
        </w:rPr>
        <w:t>Alcance: el documento cubre indicadores de aire exterior, calidad de agua, estrés térmico, sequía, inundación, radiación UV, radón, ruido, humedad/moho, gases tóxicos y condiciones eco-climáticas compatibles con transmisión vectorial. No sustituye protocolos regulatorios locales ni evaluación clínica, y debe calibrarse con vigilancia epidemiológica territorial.</w:t>
      </w:r>
    </w:p>
    <w:p>
      <w:pPr>
        <w:pStyle w:val="Heading1"/>
      </w:pPr>
      <w:r>
        <w:rPr>
          <w:rFonts w:ascii="Arial" w:hAnsi="Arial" w:eastAsia="Arial"/>
          <w:color w:val="1F4E79"/>
        </w:rPr>
        <w:t>3. Metodología de selección y normalización de umbrales</w:t>
      </w:r>
    </w:p>
    <w:p>
      <w:r>
        <w:rPr>
          <w:rFonts w:ascii="Arial" w:hAnsi="Arial" w:eastAsia="Arial"/>
        </w:rPr>
        <w:t>Se priorizaron fuentes con autoridad normativa o técnica internacional: OMS/WHO para aire, agua, calor, UV, radón, ruido e interiores; EPA/AirNow para comunicación del AQI; NOAA/NWS para índice de calor; CDC/NIOSH para exposiciones químicas IDLH; WMO para SPI; y PAHO/WHO para dengue y factores ambientales de transmisión [1-18].</w:t>
      </w:r>
    </w:p>
    <w:p>
      <w:r>
        <w:rPr>
          <w:rFonts w:ascii="Arial" w:hAnsi="Arial" w:eastAsia="Arial"/>
        </w:rPr>
        <w:t>Los indicadores fueron clasificados en tres familias metodológicas:</w:t>
      </w:r>
    </w:p>
    <w:p>
      <w:pPr>
        <w:pStyle w:val="ListBullet"/>
      </w:pPr>
      <w:r>
        <w:rPr>
          <w:rFonts w:ascii="Arial" w:hAnsi="Arial" w:eastAsia="Arial"/>
        </w:rPr>
        <w:t>Indicadores con umbral sanitario continuo: permiten normalizar el valor observado como porcentaje del umbral. Ejemplos: PM2.5, arsénico, nitrato, radón.</w:t>
      </w:r>
    </w:p>
    <w:p>
      <w:pPr>
        <w:pStyle w:val="ListBullet"/>
      </w:pPr>
      <w:r>
        <w:rPr>
          <w:rFonts w:ascii="Arial" w:hAnsi="Arial" w:eastAsia="Arial"/>
        </w:rPr>
        <w:t>Indicadores binarios o de tolerancia cero: no admiten porcentaje lineal porque el valor admisible es cero. Ejemplo: E. coli en agua potable.</w:t>
      </w:r>
    </w:p>
    <w:p>
      <w:pPr>
        <w:pStyle w:val="ListBullet"/>
      </w:pPr>
      <w:r>
        <w:rPr>
          <w:rFonts w:ascii="Arial" w:hAnsi="Arial" w:eastAsia="Arial"/>
        </w:rPr>
        <w:t>Indicadores categóricos o no lineales: deben interpretarse con escalas oficiales. Ejemplos: AQI, índice UV, dB ambientales, IDLH, SPI y categorías de índice de calor.</w:t>
      </w:r>
    </w:p>
    <w:tbl>
      <w:tblPr>
        <w:tblStyle w:val="TableGrid"/>
        <w:tblW w:type="auto" w:w="0"/>
        <w:jc w:val="center"/>
        <w:tblLook w:firstColumn="1" w:firstRow="1" w:lastColumn="0" w:lastRow="0" w:noHBand="0" w:noVBand="1" w:val="04A0"/>
      </w:tblPr>
      <w:tblGrid>
        <w:gridCol w:w="10037"/>
      </w:tblGrid>
      <w:tr>
        <w:tc>
          <w:tcPr>
            <w:tcW w:type="dxa" w:w="10037"/>
            <w:shd w:fill="EAF2F8"/>
            <w:tcMar>
              <w:top w:w="120" w:type="dxa"/>
              <w:start w:w="160" w:type="dxa"/>
              <w:bottom w:w="120" w:type="dxa"/>
              <w:end w:w="160" w:type="dxa"/>
            </w:tcMar>
          </w:tcPr>
          <w:p>
            <w:pPr>
              <w:spacing w:after="80"/>
            </w:pPr>
            <w:r>
              <w:rPr>
                <w:rFonts w:ascii="Arial" w:hAnsi="Arial"/>
                <w:b/>
                <w:sz w:val="19"/>
              </w:rPr>
              <w:t>Normalización propuesta para SpaceAI</w:t>
            </w:r>
          </w:p>
          <w:p>
            <w:pPr>
              <w:spacing w:after="40"/>
            </w:pPr>
            <w:r>
              <w:rPr>
                <w:rFonts w:ascii="Arial" w:hAnsi="Arial"/>
                <w:sz w:val="18"/>
              </w:rPr>
              <w:t>Excedencia relativa (%) = (valor observado / valor de referencia sanitario) x 100</w:t>
            </w:r>
          </w:p>
          <w:p>
            <w:pPr>
              <w:spacing w:after="40"/>
            </w:pPr>
            <w:r>
              <w:rPr>
                <w:rFonts w:ascii="Arial" w:hAnsi="Arial"/>
                <w:sz w:val="18"/>
              </w:rPr>
              <w:t>Alerta = 100% a 149%; amenaza alta = 150% a 199%; crítico operativo = &gt;=200%</w:t>
            </w:r>
          </w:p>
          <w:p>
            <w:pPr>
              <w:spacing w:after="40"/>
            </w:pPr>
            <w:r>
              <w:rPr>
                <w:rFonts w:ascii="Arial" w:hAnsi="Arial"/>
                <w:sz w:val="18"/>
              </w:rPr>
              <w:t>Excepción: E. coli, IDLH, AQI, índice UV, dB, SPI e índice de calor se interpretan por reglas específicas de categoría.</w:t>
            </w:r>
          </w:p>
          <w:p>
            <w:pPr>
              <w:spacing w:after="40"/>
            </w:pPr>
            <w:r>
              <w:rPr>
                <w:rFonts w:ascii="Arial" w:hAnsi="Arial"/>
                <w:sz w:val="18"/>
              </w:rPr>
              <w:t>La excedencia porcentual no equivale directamente a incremento porcentual de riesgo clínico; es una métrica operativa de priorización.</w:t>
            </w:r>
          </w:p>
        </w:tc>
      </w:tr>
    </w:tbl>
    <w:p>
      <w:pPr>
        <w:pStyle w:val="Heading1"/>
      </w:pPr>
      <w:r>
        <w:rPr>
          <w:rFonts w:ascii="Arial" w:hAnsi="Arial" w:eastAsia="Arial"/>
          <w:color w:val="1F4E79"/>
        </w:rPr>
        <w:t>4. Matriz general de severidad SpaceAI</w:t>
      </w:r>
    </w:p>
    <w:p>
      <w:r>
        <w:rPr>
          <w:rFonts w:ascii="Arial" w:hAnsi="Arial" w:eastAsia="Arial"/>
        </w:rPr>
        <w:t>La matriz siguiente se propone como capa de decisión inicial. Debe combinarse con persistencia temporal, densidad poblacional, vulnerabilidad y confiabilidad de la fuente de datos.</w:t>
      </w:r>
    </w:p>
    <w:p>
      <w:pPr>
        <w:pStyle w:val="Caption"/>
        <w:keepNext/>
      </w:pPr>
      <w:r>
        <w:rPr>
          <w:b/>
          <w:sz w:val="18"/>
        </w:rPr>
        <w:t>Tabla 1. Escala operativa de severidad para indicadores con umbral continuo.</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rPr>
          <w:tblHeader w:val="true"/>
          <w:cantSplit/>
        </w:trPr>
        <w:tc>
          <w:tcPr>
            <w:tcW w:type="dxa" w:w="1440"/>
            <w:vAlign w:val="center"/>
            <w:shd w:fill="1F4E79"/>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color w:val="FFFFFF"/>
                <w:sz w:val="16"/>
              </w:rPr>
              <w:t>Nivel</w:t>
            </w:r>
          </w:p>
        </w:tc>
        <w:tc>
          <w:tcPr>
            <w:tcW w:type="dxa" w:w="2016"/>
            <w:vAlign w:val="center"/>
            <w:shd w:fill="1F4E79"/>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color w:val="FFFFFF"/>
                <w:sz w:val="16"/>
              </w:rPr>
              <w:t>% del umbral sanitario</w:t>
            </w:r>
          </w:p>
        </w:tc>
        <w:tc>
          <w:tcPr>
            <w:tcW w:type="dxa" w:w="3456"/>
            <w:vAlign w:val="center"/>
            <w:shd w:fill="1F4E79"/>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color w:val="FFFFFF"/>
                <w:sz w:val="16"/>
              </w:rPr>
              <w:t>Interpretación técnica</w:t>
            </w:r>
          </w:p>
        </w:tc>
        <w:tc>
          <w:tcPr>
            <w:tcW w:type="dxa" w:w="3744"/>
            <w:vAlign w:val="center"/>
            <w:shd w:fill="1F4E79"/>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color w:val="FFFFFF"/>
                <w:sz w:val="16"/>
              </w:rPr>
              <w:t>Respuesta sugerida SpaceAI</w:t>
            </w:r>
          </w:p>
        </w:tc>
      </w:tr>
      <w:tr>
        <w:trPr>
          <w:cantSplit/>
        </w:trPr>
        <w:tc>
          <w:tcPr>
            <w:tcW w:type="dxa" w:w="144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6"/>
              </w:rPr>
              <w:t>R0 Basal</w:t>
            </w:r>
          </w:p>
        </w:tc>
        <w:tc>
          <w:tcPr>
            <w:tcW w:type="dxa" w:w="2016"/>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6"/>
              </w:rPr>
              <w:t>&lt;80%</w:t>
            </w:r>
          </w:p>
        </w:tc>
        <w:tc>
          <w:tcPr>
            <w:tcW w:type="dxa" w:w="3456"/>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6"/>
              </w:rPr>
              <w:t>Condición dentro del margen operativo esperado.</w:t>
            </w:r>
          </w:p>
        </w:tc>
        <w:tc>
          <w:tcPr>
            <w:tcW w:type="dxa" w:w="3744"/>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6"/>
              </w:rPr>
              <w:t>Monitoreo rutinario.</w:t>
            </w:r>
          </w:p>
        </w:tc>
      </w:tr>
      <w:tr>
        <w:trPr>
          <w:cantSplit/>
        </w:trPr>
        <w:tc>
          <w:tcPr>
            <w:tcW w:type="dxa" w:w="144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6"/>
              </w:rPr>
              <w:t>R1 Vigilancia</w:t>
            </w:r>
          </w:p>
        </w:tc>
        <w:tc>
          <w:tcPr>
            <w:tcW w:type="dxa" w:w="2016"/>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6"/>
              </w:rPr>
              <w:t>80%-99%</w:t>
            </w:r>
          </w:p>
        </w:tc>
        <w:tc>
          <w:tcPr>
            <w:tcW w:type="dxa" w:w="3456"/>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6"/>
              </w:rPr>
              <w:t>Aproximación al umbral; riesgo sensible en grupos vulnerables.</w:t>
            </w:r>
          </w:p>
        </w:tc>
        <w:tc>
          <w:tcPr>
            <w:tcW w:type="dxa" w:w="3744"/>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6"/>
              </w:rPr>
              <w:t>Aumentar frecuencia de actualización y control de calidad.</w:t>
            </w:r>
          </w:p>
        </w:tc>
      </w:tr>
      <w:tr>
        <w:trPr>
          <w:cantSplit/>
        </w:trPr>
        <w:tc>
          <w:tcPr>
            <w:tcW w:type="dxa" w:w="144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6"/>
              </w:rPr>
              <w:t>R2 Alerta</w:t>
            </w:r>
          </w:p>
        </w:tc>
        <w:tc>
          <w:tcPr>
            <w:tcW w:type="dxa" w:w="2016"/>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6"/>
              </w:rPr>
              <w:t>100%-149%</w:t>
            </w:r>
          </w:p>
        </w:tc>
        <w:tc>
          <w:tcPr>
            <w:tcW w:type="dxa" w:w="3456"/>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6"/>
              </w:rPr>
              <w:t>Excedencia del valor de referencia sanitario.</w:t>
            </w:r>
          </w:p>
        </w:tc>
        <w:tc>
          <w:tcPr>
            <w:tcW w:type="dxa" w:w="3744"/>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6"/>
              </w:rPr>
              <w:t>Activar alerta territorial y contraste con fuentes secundarias.</w:t>
            </w:r>
          </w:p>
        </w:tc>
      </w:tr>
      <w:tr>
        <w:trPr>
          <w:cantSplit/>
        </w:trPr>
        <w:tc>
          <w:tcPr>
            <w:tcW w:type="dxa" w:w="144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6"/>
              </w:rPr>
              <w:t>R3 Amenaza alta</w:t>
            </w:r>
          </w:p>
        </w:tc>
        <w:tc>
          <w:tcPr>
            <w:tcW w:type="dxa" w:w="2016"/>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6"/>
              </w:rPr>
              <w:t>150%-199%</w:t>
            </w:r>
          </w:p>
        </w:tc>
        <w:tc>
          <w:tcPr>
            <w:tcW w:type="dxa" w:w="3456"/>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6"/>
              </w:rPr>
              <w:t>Excedencia sustantiva con plausibilidad de impacto clínico.</w:t>
            </w:r>
          </w:p>
        </w:tc>
        <w:tc>
          <w:tcPr>
            <w:tcW w:type="dxa" w:w="3744"/>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6"/>
              </w:rPr>
              <w:t>Priorizar población vulnerable y comunicar riesgo preventivo.</w:t>
            </w:r>
          </w:p>
        </w:tc>
      </w:tr>
      <w:tr>
        <w:trPr>
          <w:cantSplit/>
        </w:trPr>
        <w:tc>
          <w:tcPr>
            <w:tcW w:type="dxa" w:w="144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6"/>
              </w:rPr>
              <w:t>R4 Crítico</w:t>
            </w:r>
          </w:p>
        </w:tc>
        <w:tc>
          <w:tcPr>
            <w:tcW w:type="dxa" w:w="2016"/>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6"/>
              </w:rPr>
              <w:t>&gt;=200%</w:t>
            </w:r>
          </w:p>
        </w:tc>
        <w:tc>
          <w:tcPr>
            <w:tcW w:type="dxa" w:w="3456"/>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6"/>
              </w:rPr>
              <w:t>Condición compatible con crisis sanitaria si persiste o coincide con alta exposición poblacional.</w:t>
            </w:r>
          </w:p>
        </w:tc>
        <w:tc>
          <w:tcPr>
            <w:tcW w:type="dxa" w:w="3744"/>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6"/>
              </w:rPr>
              <w:t>Activar protocolo de crisis, validación rápida y acciones intersectoriales.</w:t>
            </w:r>
          </w:p>
        </w:tc>
      </w:tr>
      <w:tr>
        <w:trPr>
          <w:cantSplit/>
        </w:trPr>
        <w:tc>
          <w:tcPr>
            <w:tcW w:type="dxa" w:w="144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6"/>
              </w:rPr>
              <w:t>R5 Emergencia</w:t>
            </w:r>
          </w:p>
        </w:tc>
        <w:tc>
          <w:tcPr>
            <w:tcW w:type="dxa" w:w="2016"/>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6"/>
              </w:rPr>
              <w:t>Regla específica</w:t>
            </w:r>
          </w:p>
        </w:tc>
        <w:tc>
          <w:tcPr>
            <w:tcW w:type="dxa" w:w="3456"/>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6"/>
              </w:rPr>
              <w:t>IDLH, AQI peligroso, E. coli en agua potable, calor extremo o evento multi-indicador severo.</w:t>
            </w:r>
          </w:p>
        </w:tc>
        <w:tc>
          <w:tcPr>
            <w:tcW w:type="dxa" w:w="3744"/>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6"/>
              </w:rPr>
              <w:t>Escalamiento inmediato a salud pública/protección civil.</w:t>
            </w:r>
          </w:p>
        </w:tc>
      </w:tr>
    </w:tbl>
    <w:p>
      <w:r>
        <w:rPr>
          <w:rFonts w:ascii="Arial" w:hAnsi="Arial" w:eastAsia="Arial"/>
        </w:rPr>
        <w:t>Para variables con unidades logarítmicas o escalas sintéticas, como decibeles, AQI o SPI, no se recomienda interpretar el doble del número como doble de riesgo. En esos casos SpaceAI debe usar las categorías oficiales o reglas de decisión específicas.</w:t>
      </w:r>
    </w:p>
    <w:p>
      <w:pPr>
        <w:pStyle w:val="Heading1"/>
      </w:pPr>
      <w:r>
        <w:rPr>
          <w:rFonts w:ascii="Arial" w:hAnsi="Arial" w:eastAsia="Arial"/>
          <w:color w:val="1F4E79"/>
        </w:rPr>
        <w:t>5. Resultados por dominio ambiental</w:t>
      </w:r>
    </w:p>
    <w:p>
      <w:pPr>
        <w:pStyle w:val="Heading2"/>
      </w:pPr>
      <w:r>
        <w:rPr>
          <w:rFonts w:ascii="Arial" w:hAnsi="Arial" w:eastAsia="Arial"/>
          <w:color w:val="2F75B5"/>
        </w:rPr>
        <w:t>5.1 Calidad del aire exterior</w:t>
      </w:r>
    </w:p>
    <w:p>
      <w:r>
        <w:rPr>
          <w:rFonts w:ascii="Arial" w:hAnsi="Arial" w:eastAsia="Arial"/>
        </w:rPr>
        <w:t>Los contaminantes atmosféricos son indicadores de alta prioridad porque combinan exposición masiva, rápida variabilidad espacial y efectos agudos y crónicos. PM2.5 y PM10 se asocian con exacerbaciones respiratorias, eventos cardiovasculares y mortalidad; NO2 y O3 son marcadores de combustión, tráfico y fotoquímica; SO2 y CO tienen relevancia en episodios industriales, combustión incompleta e incendios [1,2].</w:t>
      </w:r>
    </w:p>
    <w:p>
      <w:pPr>
        <w:pStyle w:val="Caption"/>
        <w:keepNext/>
      </w:pPr>
      <w:r>
        <w:rPr>
          <w:b/>
          <w:sz w:val="18"/>
        </w:rPr>
        <w:t>Tabla 2. Umbrales de calidad del aire y porcentajes críticos propuestos para SpaceAI, basados en valores OMS 2021 [1].</w:t>
      </w:r>
    </w:p>
    <w:tbl>
      <w:tblPr>
        <w:tblStyle w:val="TableGrid"/>
        <w:tblW w:type="auto" w:w="0"/>
        <w:jc w:val="center"/>
        <w:tblLayout w:type="autofit"/>
        <w:tblLook w:firstColumn="1" w:firstRow="1" w:lastColumn="0" w:lastRow="0" w:noHBand="0" w:noVBand="1" w:val="04A0"/>
      </w:tblPr>
      <w:tblGrid>
        <w:gridCol w:w="2007"/>
        <w:gridCol w:w="2007"/>
        <w:gridCol w:w="2007"/>
        <w:gridCol w:w="2007"/>
        <w:gridCol w:w="2007"/>
      </w:tblGrid>
      <w:tr>
        <w:trPr>
          <w:tblHeader w:val="true"/>
          <w:cantSplit/>
        </w:trPr>
        <w:tc>
          <w:tcPr>
            <w:tcW w:type="dxa" w:w="1800"/>
            <w:vAlign w:val="center"/>
            <w:shd w:fill="1F4E79"/>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color w:val="FFFFFF"/>
                <w:sz w:val="15"/>
              </w:rPr>
              <w:t>Indicador</w:t>
            </w:r>
          </w:p>
        </w:tc>
        <w:tc>
          <w:tcPr>
            <w:tcW w:type="dxa" w:w="1584"/>
            <w:vAlign w:val="center"/>
            <w:shd w:fill="1F4E79"/>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color w:val="FFFFFF"/>
                <w:sz w:val="15"/>
              </w:rPr>
              <w:t>100% referencia</w:t>
            </w:r>
          </w:p>
        </w:tc>
        <w:tc>
          <w:tcPr>
            <w:tcW w:type="dxa" w:w="1584"/>
            <w:vAlign w:val="center"/>
            <w:shd w:fill="1F4E79"/>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color w:val="FFFFFF"/>
                <w:sz w:val="15"/>
              </w:rPr>
              <w:t>150% amenaza</w:t>
            </w:r>
          </w:p>
        </w:tc>
        <w:tc>
          <w:tcPr>
            <w:tcW w:type="dxa" w:w="1584"/>
            <w:vAlign w:val="center"/>
            <w:shd w:fill="1F4E79"/>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color w:val="FFFFFF"/>
                <w:sz w:val="15"/>
              </w:rPr>
              <w:t>&gt;=200% crítico</w:t>
            </w:r>
          </w:p>
        </w:tc>
        <w:tc>
          <w:tcPr>
            <w:tcW w:type="dxa" w:w="3744"/>
            <w:vAlign w:val="center"/>
            <w:shd w:fill="1F4E79"/>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color w:val="FFFFFF"/>
                <w:sz w:val="15"/>
              </w:rPr>
              <w:t>Patologías/síndromes asociados</w:t>
            </w:r>
          </w:p>
        </w:tc>
      </w:tr>
      <w:tr>
        <w:trPr>
          <w:cantSplit/>
        </w:trPr>
        <w:tc>
          <w:tcPr>
            <w:tcW w:type="dxa" w:w="180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PM2.5 anual</w:t>
            </w:r>
          </w:p>
        </w:tc>
        <w:tc>
          <w:tcPr>
            <w:tcW w:type="dxa" w:w="1584"/>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5 µg/m3</w:t>
            </w:r>
          </w:p>
        </w:tc>
        <w:tc>
          <w:tcPr>
            <w:tcW w:type="dxa" w:w="1584"/>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7.5 µg/m3</w:t>
            </w:r>
          </w:p>
        </w:tc>
        <w:tc>
          <w:tcPr>
            <w:tcW w:type="dxa" w:w="1584"/>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&gt;=10 µg/m3</w:t>
            </w:r>
          </w:p>
        </w:tc>
        <w:tc>
          <w:tcPr>
            <w:tcW w:type="dxa" w:w="3744"/>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Cardiopatía isquémica, ACV, EPOC, cáncer de pulmón, asma.</w:t>
            </w:r>
          </w:p>
        </w:tc>
      </w:tr>
      <w:tr>
        <w:trPr>
          <w:cantSplit/>
        </w:trPr>
        <w:tc>
          <w:tcPr>
            <w:tcW w:type="dxa" w:w="180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PM2.5 24 h</w:t>
            </w:r>
          </w:p>
        </w:tc>
        <w:tc>
          <w:tcPr>
            <w:tcW w:type="dxa" w:w="1584"/>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15 µg/m3</w:t>
            </w:r>
          </w:p>
        </w:tc>
        <w:tc>
          <w:tcPr>
            <w:tcW w:type="dxa" w:w="1584"/>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22.5 µg/m3</w:t>
            </w:r>
          </w:p>
        </w:tc>
        <w:tc>
          <w:tcPr>
            <w:tcW w:type="dxa" w:w="1584"/>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&gt;=30 µg/m3</w:t>
            </w:r>
          </w:p>
        </w:tc>
        <w:tc>
          <w:tcPr>
            <w:tcW w:type="dxa" w:w="3744"/>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Crisis asmática, bronquitis aguda, EPOC descompensado, eventos cardiovasculares.</w:t>
            </w:r>
          </w:p>
        </w:tc>
      </w:tr>
      <w:tr>
        <w:trPr>
          <w:cantSplit/>
        </w:trPr>
        <w:tc>
          <w:tcPr>
            <w:tcW w:type="dxa" w:w="180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PM10 anual</w:t>
            </w:r>
          </w:p>
        </w:tc>
        <w:tc>
          <w:tcPr>
            <w:tcW w:type="dxa" w:w="1584"/>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15 µg/m3</w:t>
            </w:r>
          </w:p>
        </w:tc>
        <w:tc>
          <w:tcPr>
            <w:tcW w:type="dxa" w:w="1584"/>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22.5 µg/m3</w:t>
            </w:r>
          </w:p>
        </w:tc>
        <w:tc>
          <w:tcPr>
            <w:tcW w:type="dxa" w:w="1584"/>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&gt;=30 µg/m3</w:t>
            </w:r>
          </w:p>
        </w:tc>
        <w:tc>
          <w:tcPr>
            <w:tcW w:type="dxa" w:w="3744"/>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Síntomas respiratorios, asma, EPOC, carga cardiovascular.</w:t>
            </w:r>
          </w:p>
        </w:tc>
      </w:tr>
      <w:tr>
        <w:trPr>
          <w:cantSplit/>
        </w:trPr>
        <w:tc>
          <w:tcPr>
            <w:tcW w:type="dxa" w:w="180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PM10 24 h</w:t>
            </w:r>
          </w:p>
        </w:tc>
        <w:tc>
          <w:tcPr>
            <w:tcW w:type="dxa" w:w="1584"/>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45 µg/m3</w:t>
            </w:r>
          </w:p>
        </w:tc>
        <w:tc>
          <w:tcPr>
            <w:tcW w:type="dxa" w:w="1584"/>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67.5 µg/m3</w:t>
            </w:r>
          </w:p>
        </w:tc>
        <w:tc>
          <w:tcPr>
            <w:tcW w:type="dxa" w:w="1584"/>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&gt;=90 µg/m3</w:t>
            </w:r>
          </w:p>
        </w:tc>
        <w:tc>
          <w:tcPr>
            <w:tcW w:type="dxa" w:w="3744"/>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Irritación respiratoria, infecciones respiratorias, exacerbación asmática.</w:t>
            </w:r>
          </w:p>
        </w:tc>
      </w:tr>
      <w:tr>
        <w:trPr>
          <w:cantSplit/>
        </w:trPr>
        <w:tc>
          <w:tcPr>
            <w:tcW w:type="dxa" w:w="180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NO2 anual</w:t>
            </w:r>
          </w:p>
        </w:tc>
        <w:tc>
          <w:tcPr>
            <w:tcW w:type="dxa" w:w="1584"/>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10 µg/m3</w:t>
            </w:r>
          </w:p>
        </w:tc>
        <w:tc>
          <w:tcPr>
            <w:tcW w:type="dxa" w:w="1584"/>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15 µg/m3</w:t>
            </w:r>
          </w:p>
        </w:tc>
        <w:tc>
          <w:tcPr>
            <w:tcW w:type="dxa" w:w="1584"/>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&gt;=20 µg/m3</w:t>
            </w:r>
          </w:p>
        </w:tc>
        <w:tc>
          <w:tcPr>
            <w:tcW w:type="dxa" w:w="3744"/>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Inflamación bronquial, asma infantil, menor función pulmonar.</w:t>
            </w:r>
          </w:p>
        </w:tc>
      </w:tr>
      <w:tr>
        <w:trPr>
          <w:cantSplit/>
        </w:trPr>
        <w:tc>
          <w:tcPr>
            <w:tcW w:type="dxa" w:w="180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NO2 24 h</w:t>
            </w:r>
          </w:p>
        </w:tc>
        <w:tc>
          <w:tcPr>
            <w:tcW w:type="dxa" w:w="1584"/>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25 µg/m3</w:t>
            </w:r>
          </w:p>
        </w:tc>
        <w:tc>
          <w:tcPr>
            <w:tcW w:type="dxa" w:w="1584"/>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37.5 µg/m3</w:t>
            </w:r>
          </w:p>
        </w:tc>
        <w:tc>
          <w:tcPr>
            <w:tcW w:type="dxa" w:w="1584"/>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&gt;=50 µg/m3</w:t>
            </w:r>
          </w:p>
        </w:tc>
        <w:tc>
          <w:tcPr>
            <w:tcW w:type="dxa" w:w="3744"/>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Crisis respiratorias en zonas urbanas, irritación de vías aéreas.</w:t>
            </w:r>
          </w:p>
        </w:tc>
      </w:tr>
      <w:tr>
        <w:trPr>
          <w:cantSplit/>
        </w:trPr>
        <w:tc>
          <w:tcPr>
            <w:tcW w:type="dxa" w:w="180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O3 temporada pico</w:t>
            </w:r>
          </w:p>
        </w:tc>
        <w:tc>
          <w:tcPr>
            <w:tcW w:type="dxa" w:w="1584"/>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60 µg/m3</w:t>
            </w:r>
          </w:p>
        </w:tc>
        <w:tc>
          <w:tcPr>
            <w:tcW w:type="dxa" w:w="1584"/>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90 µg/m3</w:t>
            </w:r>
          </w:p>
        </w:tc>
        <w:tc>
          <w:tcPr>
            <w:tcW w:type="dxa" w:w="1584"/>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&gt;=120 µg/m3</w:t>
            </w:r>
          </w:p>
        </w:tc>
        <w:tc>
          <w:tcPr>
            <w:tcW w:type="dxa" w:w="3744"/>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Broncoconstricción, tos, reducción funcional, crisis asmática.</w:t>
            </w:r>
          </w:p>
        </w:tc>
      </w:tr>
      <w:tr>
        <w:trPr>
          <w:cantSplit/>
        </w:trPr>
        <w:tc>
          <w:tcPr>
            <w:tcW w:type="dxa" w:w="180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O3 8 h</w:t>
            </w:r>
          </w:p>
        </w:tc>
        <w:tc>
          <w:tcPr>
            <w:tcW w:type="dxa" w:w="1584"/>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100 µg/m3</w:t>
            </w:r>
          </w:p>
        </w:tc>
        <w:tc>
          <w:tcPr>
            <w:tcW w:type="dxa" w:w="1584"/>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150 µg/m3</w:t>
            </w:r>
          </w:p>
        </w:tc>
        <w:tc>
          <w:tcPr>
            <w:tcW w:type="dxa" w:w="1584"/>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&gt;=200 µg/m3</w:t>
            </w:r>
          </w:p>
        </w:tc>
        <w:tc>
          <w:tcPr>
            <w:tcW w:type="dxa" w:w="3744"/>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Síntomas respiratorios, urgencias por asma/EPOC.</w:t>
            </w:r>
          </w:p>
        </w:tc>
      </w:tr>
      <w:tr>
        <w:trPr>
          <w:cantSplit/>
        </w:trPr>
        <w:tc>
          <w:tcPr>
            <w:tcW w:type="dxa" w:w="180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SO2 24 h</w:t>
            </w:r>
          </w:p>
        </w:tc>
        <w:tc>
          <w:tcPr>
            <w:tcW w:type="dxa" w:w="1584"/>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40 µg/m3</w:t>
            </w:r>
          </w:p>
        </w:tc>
        <w:tc>
          <w:tcPr>
            <w:tcW w:type="dxa" w:w="1584"/>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60 µg/m3</w:t>
            </w:r>
          </w:p>
        </w:tc>
        <w:tc>
          <w:tcPr>
            <w:tcW w:type="dxa" w:w="1584"/>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&gt;=80 µg/m3</w:t>
            </w:r>
          </w:p>
        </w:tc>
        <w:tc>
          <w:tcPr>
            <w:tcW w:type="dxa" w:w="3744"/>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Broncoespasmo, irritación, crisis asmática; riesgo industrial.</w:t>
            </w:r>
          </w:p>
        </w:tc>
      </w:tr>
      <w:tr>
        <w:trPr>
          <w:cantSplit/>
        </w:trPr>
        <w:tc>
          <w:tcPr>
            <w:tcW w:type="dxa" w:w="180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CO 24 h</w:t>
            </w:r>
          </w:p>
        </w:tc>
        <w:tc>
          <w:tcPr>
            <w:tcW w:type="dxa" w:w="1584"/>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4 mg/m3</w:t>
            </w:r>
          </w:p>
        </w:tc>
        <w:tc>
          <w:tcPr>
            <w:tcW w:type="dxa" w:w="1584"/>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6 mg/m3</w:t>
            </w:r>
          </w:p>
        </w:tc>
        <w:tc>
          <w:tcPr>
            <w:tcW w:type="dxa" w:w="1584"/>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&gt;=8 mg/m3</w:t>
            </w:r>
          </w:p>
        </w:tc>
        <w:tc>
          <w:tcPr>
            <w:tcW w:type="dxa" w:w="3744"/>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Hipoxia tisular, angina, arritmias; mayor riesgo en embarazadas y cardiopatías.</w:t>
            </w:r>
          </w:p>
        </w:tc>
      </w:tr>
    </w:tbl>
    <w:p>
      <w:pPr>
        <w:pStyle w:val="Caption"/>
        <w:keepNext/>
      </w:pPr>
      <w:r>
        <w:rPr>
          <w:b/>
          <w:sz w:val="18"/>
        </w:rPr>
        <w:t>Tabla 3. Categorías AQI para comunicación pública de episodios de mala calidad del aire [2].</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rPr>
          <w:tblHeader w:val="true"/>
          <w:cantSplit/>
        </w:trPr>
        <w:tc>
          <w:tcPr>
            <w:tcW w:type="dxa" w:w="1296"/>
            <w:vAlign w:val="center"/>
            <w:shd w:fill="1F4E79"/>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color w:val="FFFFFF"/>
                <w:sz w:val="16"/>
              </w:rPr>
              <w:t>AQI</w:t>
            </w:r>
          </w:p>
        </w:tc>
        <w:tc>
          <w:tcPr>
            <w:tcW w:type="dxa" w:w="2232"/>
            <w:vAlign w:val="center"/>
            <w:shd w:fill="1F4E79"/>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color w:val="FFFFFF"/>
                <w:sz w:val="16"/>
              </w:rPr>
              <w:t>Categoría</w:t>
            </w:r>
          </w:p>
        </w:tc>
        <w:tc>
          <w:tcPr>
            <w:tcW w:type="dxa" w:w="4464"/>
            <w:vAlign w:val="center"/>
            <w:shd w:fill="1F4E79"/>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color w:val="FFFFFF"/>
                <w:sz w:val="16"/>
              </w:rPr>
              <w:t>Interpretación sanitaria</w:t>
            </w:r>
          </w:p>
        </w:tc>
        <w:tc>
          <w:tcPr>
            <w:tcW w:type="dxa" w:w="1584"/>
            <w:vAlign w:val="center"/>
            <w:shd w:fill="1F4E79"/>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color w:val="FFFFFF"/>
                <w:sz w:val="16"/>
              </w:rPr>
              <w:t>Uso SpaceAI</w:t>
            </w:r>
          </w:p>
        </w:tc>
      </w:tr>
      <w:tr>
        <w:trPr>
          <w:cantSplit/>
        </w:trPr>
        <w:tc>
          <w:tcPr>
            <w:tcW w:type="dxa" w:w="1296"/>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6"/>
              </w:rPr>
              <w:t>0-50</w:t>
            </w:r>
          </w:p>
        </w:tc>
        <w:tc>
          <w:tcPr>
            <w:tcW w:type="dxa" w:w="2232"/>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6"/>
              </w:rPr>
              <w:t>Bueno</w:t>
            </w:r>
          </w:p>
        </w:tc>
        <w:tc>
          <w:tcPr>
            <w:tcW w:type="dxa" w:w="4464"/>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6"/>
              </w:rPr>
              <w:t>Riesgo bajo para población general.</w:t>
            </w:r>
          </w:p>
        </w:tc>
        <w:tc>
          <w:tcPr>
            <w:tcW w:type="dxa" w:w="1584"/>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6"/>
              </w:rPr>
              <w:t>R0</w:t>
            </w:r>
          </w:p>
        </w:tc>
      </w:tr>
      <w:tr>
        <w:trPr>
          <w:cantSplit/>
        </w:trPr>
        <w:tc>
          <w:tcPr>
            <w:tcW w:type="dxa" w:w="1296"/>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6"/>
              </w:rPr>
              <w:t>51-100</w:t>
            </w:r>
          </w:p>
        </w:tc>
        <w:tc>
          <w:tcPr>
            <w:tcW w:type="dxa" w:w="2232"/>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6"/>
              </w:rPr>
              <w:t>Moderado</w:t>
            </w:r>
          </w:p>
        </w:tc>
        <w:tc>
          <w:tcPr>
            <w:tcW w:type="dxa" w:w="4464"/>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6"/>
              </w:rPr>
              <w:t>Puede afectar personas inusualmente sensibles.</w:t>
            </w:r>
          </w:p>
        </w:tc>
        <w:tc>
          <w:tcPr>
            <w:tcW w:type="dxa" w:w="1584"/>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6"/>
              </w:rPr>
              <w:t>R1</w:t>
            </w:r>
          </w:p>
        </w:tc>
      </w:tr>
      <w:tr>
        <w:trPr>
          <w:cantSplit/>
        </w:trPr>
        <w:tc>
          <w:tcPr>
            <w:tcW w:type="dxa" w:w="1296"/>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6"/>
              </w:rPr>
              <w:t>101-150</w:t>
            </w:r>
          </w:p>
        </w:tc>
        <w:tc>
          <w:tcPr>
            <w:tcW w:type="dxa" w:w="2232"/>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6"/>
              </w:rPr>
              <w:t>Insalubre para grupos sensibles</w:t>
            </w:r>
          </w:p>
        </w:tc>
        <w:tc>
          <w:tcPr>
            <w:tcW w:type="dxa" w:w="4464"/>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6"/>
              </w:rPr>
              <w:t>Niños, mayores y pacientes cardio-respiratorios pueden presentar síntomas.</w:t>
            </w:r>
          </w:p>
        </w:tc>
        <w:tc>
          <w:tcPr>
            <w:tcW w:type="dxa" w:w="1584"/>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6"/>
              </w:rPr>
              <w:t>R2</w:t>
            </w:r>
          </w:p>
        </w:tc>
      </w:tr>
      <w:tr>
        <w:trPr>
          <w:cantSplit/>
        </w:trPr>
        <w:tc>
          <w:tcPr>
            <w:tcW w:type="dxa" w:w="1296"/>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6"/>
              </w:rPr>
              <w:t>151-200</w:t>
            </w:r>
          </w:p>
        </w:tc>
        <w:tc>
          <w:tcPr>
            <w:tcW w:type="dxa" w:w="2232"/>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6"/>
              </w:rPr>
              <w:t>Insalubre</w:t>
            </w:r>
          </w:p>
        </w:tc>
        <w:tc>
          <w:tcPr>
            <w:tcW w:type="dxa" w:w="4464"/>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6"/>
              </w:rPr>
              <w:t>Parte de la población general puede presentar efectos; grupos sensibles con mayor severidad.</w:t>
            </w:r>
          </w:p>
        </w:tc>
        <w:tc>
          <w:tcPr>
            <w:tcW w:type="dxa" w:w="1584"/>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6"/>
              </w:rPr>
              <w:t>R3</w:t>
            </w:r>
          </w:p>
        </w:tc>
      </w:tr>
      <w:tr>
        <w:trPr>
          <w:cantSplit/>
        </w:trPr>
        <w:tc>
          <w:tcPr>
            <w:tcW w:type="dxa" w:w="1296"/>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6"/>
              </w:rPr>
              <w:t>201-300</w:t>
            </w:r>
          </w:p>
        </w:tc>
        <w:tc>
          <w:tcPr>
            <w:tcW w:type="dxa" w:w="2232"/>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6"/>
              </w:rPr>
              <w:t>Muy insalubre</w:t>
            </w:r>
          </w:p>
        </w:tc>
        <w:tc>
          <w:tcPr>
            <w:tcW w:type="dxa" w:w="4464"/>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6"/>
              </w:rPr>
              <w:t>Alerta sanitaria; aumenta el riesgo para toda la población.</w:t>
            </w:r>
          </w:p>
        </w:tc>
        <w:tc>
          <w:tcPr>
            <w:tcW w:type="dxa" w:w="1584"/>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6"/>
              </w:rPr>
              <w:t>R4</w:t>
            </w:r>
          </w:p>
        </w:tc>
      </w:tr>
      <w:tr>
        <w:trPr>
          <w:cantSplit/>
        </w:trPr>
        <w:tc>
          <w:tcPr>
            <w:tcW w:type="dxa" w:w="1296"/>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6"/>
              </w:rPr>
              <w:t>&gt;300</w:t>
            </w:r>
          </w:p>
        </w:tc>
        <w:tc>
          <w:tcPr>
            <w:tcW w:type="dxa" w:w="2232"/>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6"/>
              </w:rPr>
              <w:t>Peligroso</w:t>
            </w:r>
          </w:p>
        </w:tc>
        <w:tc>
          <w:tcPr>
            <w:tcW w:type="dxa" w:w="4464"/>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6"/>
              </w:rPr>
              <w:t>Condición de emergencia sanitaria ambiental.</w:t>
            </w:r>
          </w:p>
        </w:tc>
        <w:tc>
          <w:tcPr>
            <w:tcW w:type="dxa" w:w="1584"/>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6"/>
              </w:rPr>
              <w:t>R5</w:t>
            </w:r>
          </w:p>
        </w:tc>
      </w:tr>
    </w:tbl>
    <w:p>
      <w:pPr>
        <w:pStyle w:val="Heading2"/>
      </w:pPr>
      <w:r>
        <w:rPr>
          <w:rFonts w:ascii="Arial" w:hAnsi="Arial" w:eastAsia="Arial"/>
          <w:color w:val="2F75B5"/>
        </w:rPr>
        <w:t>5.2 Calidad de agua y cianotoxinas</w:t>
      </w:r>
    </w:p>
    <w:p>
      <w:r>
        <w:rPr>
          <w:rFonts w:ascii="Arial" w:hAnsi="Arial" w:eastAsia="Arial"/>
        </w:rPr>
        <w:t>La contaminación microbiológica del agua potable es uno de los detonantes más directos de crisis sanitarias. La OMS establece que E. coli o coliformes termotolerantes no deben ser detectables en ninguna muestra de 100 ml; la detección exige investigación inmediata [4]. Para contaminantes químicos, la OMS define valores guía de significancia sanitaria; en sustancias sin umbral seguro, como plomo o arsénico, el umbral operativo debe interpretarse con especial precaución [3,5].</w:t>
      </w:r>
    </w:p>
    <w:p>
      <w:pPr>
        <w:pStyle w:val="Caption"/>
        <w:keepNext/>
      </w:pPr>
      <w:r>
        <w:rPr>
          <w:b/>
          <w:sz w:val="18"/>
        </w:rPr>
        <w:t>Tabla 4. Indicadores críticos de agua potable/superficial y patologías asociadas [3-6].</w:t>
      </w:r>
    </w:p>
    <w:tbl>
      <w:tblPr>
        <w:tblStyle w:val="TableGrid"/>
        <w:tblW w:type="auto" w:w="0"/>
        <w:jc w:val="center"/>
        <w:tblLayout w:type="autofit"/>
        <w:tblLook w:firstColumn="1" w:firstRow="1" w:lastColumn="0" w:lastRow="0" w:noHBand="0" w:noVBand="1" w:val="04A0"/>
      </w:tblPr>
      <w:tblGrid>
        <w:gridCol w:w="2007"/>
        <w:gridCol w:w="2007"/>
        <w:gridCol w:w="2007"/>
        <w:gridCol w:w="2007"/>
        <w:gridCol w:w="2007"/>
      </w:tblGrid>
      <w:tr>
        <w:trPr>
          <w:tblHeader w:val="true"/>
          <w:cantSplit/>
        </w:trPr>
        <w:tc>
          <w:tcPr>
            <w:tcW w:type="dxa" w:w="2088"/>
            <w:vAlign w:val="center"/>
            <w:shd w:fill="1F4E79"/>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color w:val="FFFFFF"/>
                <w:sz w:val="14"/>
              </w:rPr>
              <w:t>Indicador</w:t>
            </w:r>
          </w:p>
        </w:tc>
        <w:tc>
          <w:tcPr>
            <w:tcW w:type="dxa" w:w="1512"/>
            <w:vAlign w:val="center"/>
            <w:shd w:fill="1F4E79"/>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color w:val="FFFFFF"/>
                <w:sz w:val="14"/>
              </w:rPr>
              <w:t>100% referencia</w:t>
            </w:r>
          </w:p>
        </w:tc>
        <w:tc>
          <w:tcPr>
            <w:tcW w:type="dxa" w:w="1440"/>
            <w:vAlign w:val="center"/>
            <w:shd w:fill="1F4E79"/>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color w:val="FFFFFF"/>
                <w:sz w:val="14"/>
              </w:rPr>
              <w:t>150% amenaza</w:t>
            </w:r>
          </w:p>
        </w:tc>
        <w:tc>
          <w:tcPr>
            <w:tcW w:type="dxa" w:w="1656"/>
            <w:vAlign w:val="center"/>
            <w:shd w:fill="1F4E79"/>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color w:val="FFFFFF"/>
                <w:sz w:val="14"/>
              </w:rPr>
              <w:t>&gt;=200% o crítico</w:t>
            </w:r>
          </w:p>
        </w:tc>
        <w:tc>
          <w:tcPr>
            <w:tcW w:type="dxa" w:w="3456"/>
            <w:vAlign w:val="center"/>
            <w:shd w:fill="1F4E79"/>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color w:val="FFFFFF"/>
                <w:sz w:val="14"/>
              </w:rPr>
              <w:t>Patologías/síndromes asociados</w:t>
            </w:r>
          </w:p>
        </w:tc>
      </w:tr>
      <w:tr>
        <w:trPr>
          <w:cantSplit/>
        </w:trPr>
        <w:tc>
          <w:tcPr>
            <w:tcW w:type="dxa" w:w="2088"/>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4"/>
              </w:rPr>
              <w:t>E. coli en agua potable</w:t>
            </w:r>
          </w:p>
        </w:tc>
        <w:tc>
          <w:tcPr>
            <w:tcW w:type="dxa" w:w="1512"/>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4"/>
              </w:rPr>
              <w:t>0/100 ml</w:t>
            </w:r>
          </w:p>
        </w:tc>
        <w:tc>
          <w:tcPr>
            <w:tcW w:type="dxa" w:w="144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4"/>
              </w:rPr>
              <w:t>No aplica</w:t>
            </w:r>
          </w:p>
        </w:tc>
        <w:tc>
          <w:tcPr>
            <w:tcW w:type="dxa" w:w="1656"/>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4"/>
              </w:rPr>
              <w:t>Cualquier detección</w:t>
            </w:r>
          </w:p>
        </w:tc>
        <w:tc>
          <w:tcPr>
            <w:tcW w:type="dxa" w:w="3456"/>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4"/>
              </w:rPr>
              <w:t>Diarrea infecciosa, cólera, disentería, fiebre tifoidea, hepatitis A/E; brotes por contaminación fecal.</w:t>
            </w:r>
          </w:p>
        </w:tc>
      </w:tr>
      <w:tr>
        <w:trPr>
          <w:cantSplit/>
        </w:trPr>
        <w:tc>
          <w:tcPr>
            <w:tcW w:type="dxa" w:w="2088"/>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4"/>
              </w:rPr>
              <w:t>Arsénico</w:t>
            </w:r>
          </w:p>
        </w:tc>
        <w:tc>
          <w:tcPr>
            <w:tcW w:type="dxa" w:w="1512"/>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4"/>
              </w:rPr>
              <w:t>10 µg/L</w:t>
            </w:r>
          </w:p>
        </w:tc>
        <w:tc>
          <w:tcPr>
            <w:tcW w:type="dxa" w:w="144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4"/>
              </w:rPr>
              <w:t>15 µg/L</w:t>
            </w:r>
          </w:p>
        </w:tc>
        <w:tc>
          <w:tcPr>
            <w:tcW w:type="dxa" w:w="1656"/>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4"/>
              </w:rPr>
              <w:t>&gt;=20 µg/L</w:t>
            </w:r>
          </w:p>
        </w:tc>
        <w:tc>
          <w:tcPr>
            <w:tcW w:type="dxa" w:w="3456"/>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4"/>
              </w:rPr>
              <w:t>Lesiones cutáneas, cáncer de piel, pulmón y vejiga; efectos cardiovasculares y metabólicos.</w:t>
            </w:r>
          </w:p>
        </w:tc>
      </w:tr>
      <w:tr>
        <w:trPr>
          <w:cantSplit/>
        </w:trPr>
        <w:tc>
          <w:tcPr>
            <w:tcW w:type="dxa" w:w="2088"/>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4"/>
              </w:rPr>
              <w:t>Plomo</w:t>
            </w:r>
          </w:p>
        </w:tc>
        <w:tc>
          <w:tcPr>
            <w:tcW w:type="dxa" w:w="1512"/>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4"/>
              </w:rPr>
              <w:t>10 µg/L</w:t>
            </w:r>
          </w:p>
        </w:tc>
        <w:tc>
          <w:tcPr>
            <w:tcW w:type="dxa" w:w="144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4"/>
              </w:rPr>
              <w:t>15 µg/L</w:t>
            </w:r>
          </w:p>
        </w:tc>
        <w:tc>
          <w:tcPr>
            <w:tcW w:type="dxa" w:w="1656"/>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4"/>
              </w:rPr>
              <w:t>&gt;=20 µg/L</w:t>
            </w:r>
          </w:p>
        </w:tc>
        <w:tc>
          <w:tcPr>
            <w:tcW w:type="dxa" w:w="3456"/>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4"/>
              </w:rPr>
              <w:t>Neurotoxicidad infantil, deterioro cognitivo, anemia, hipertensión; sin umbral seguro claro.</w:t>
            </w:r>
          </w:p>
        </w:tc>
      </w:tr>
      <w:tr>
        <w:trPr>
          <w:cantSplit/>
        </w:trPr>
        <w:tc>
          <w:tcPr>
            <w:tcW w:type="dxa" w:w="2088"/>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4"/>
              </w:rPr>
              <w:t>Nitrato como NO3-</w:t>
            </w:r>
          </w:p>
        </w:tc>
        <w:tc>
          <w:tcPr>
            <w:tcW w:type="dxa" w:w="1512"/>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4"/>
              </w:rPr>
              <w:t>50 mg/L</w:t>
            </w:r>
          </w:p>
        </w:tc>
        <w:tc>
          <w:tcPr>
            <w:tcW w:type="dxa" w:w="144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4"/>
              </w:rPr>
              <w:t>75 mg/L</w:t>
            </w:r>
          </w:p>
        </w:tc>
        <w:tc>
          <w:tcPr>
            <w:tcW w:type="dxa" w:w="1656"/>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4"/>
              </w:rPr>
              <w:t>&gt;=100 mg/L</w:t>
            </w:r>
          </w:p>
        </w:tc>
        <w:tc>
          <w:tcPr>
            <w:tcW w:type="dxa" w:w="3456"/>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4"/>
              </w:rPr>
              <w:t>Metahemoglobinemia infantil; riesgo en lactantes alimentados con fórmula.</w:t>
            </w:r>
          </w:p>
        </w:tc>
      </w:tr>
      <w:tr>
        <w:trPr>
          <w:cantSplit/>
        </w:trPr>
        <w:tc>
          <w:tcPr>
            <w:tcW w:type="dxa" w:w="2088"/>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4"/>
              </w:rPr>
              <w:t>Nitrito como NO2-</w:t>
            </w:r>
          </w:p>
        </w:tc>
        <w:tc>
          <w:tcPr>
            <w:tcW w:type="dxa" w:w="1512"/>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4"/>
              </w:rPr>
              <w:t>3 mg/L</w:t>
            </w:r>
          </w:p>
        </w:tc>
        <w:tc>
          <w:tcPr>
            <w:tcW w:type="dxa" w:w="144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4"/>
              </w:rPr>
              <w:t>4.5 mg/L</w:t>
            </w:r>
          </w:p>
        </w:tc>
        <w:tc>
          <w:tcPr>
            <w:tcW w:type="dxa" w:w="1656"/>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4"/>
              </w:rPr>
              <w:t>&gt;=6 mg/L</w:t>
            </w:r>
          </w:p>
        </w:tc>
        <w:tc>
          <w:tcPr>
            <w:tcW w:type="dxa" w:w="3456"/>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4"/>
              </w:rPr>
              <w:t>Metahemoglobinemia y toxicidad aguda por oxidación de hemoglobina.</w:t>
            </w:r>
          </w:p>
        </w:tc>
      </w:tr>
      <w:tr>
        <w:trPr>
          <w:cantSplit/>
        </w:trPr>
        <w:tc>
          <w:tcPr>
            <w:tcW w:type="dxa" w:w="2088"/>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4"/>
              </w:rPr>
              <w:t>Fluoruro</w:t>
            </w:r>
          </w:p>
        </w:tc>
        <w:tc>
          <w:tcPr>
            <w:tcW w:type="dxa" w:w="1512"/>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4"/>
              </w:rPr>
              <w:t>1.5 mg/L</w:t>
            </w:r>
          </w:p>
        </w:tc>
        <w:tc>
          <w:tcPr>
            <w:tcW w:type="dxa" w:w="144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4"/>
              </w:rPr>
              <w:t>2.25 mg/L</w:t>
            </w:r>
          </w:p>
        </w:tc>
        <w:tc>
          <w:tcPr>
            <w:tcW w:type="dxa" w:w="1656"/>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4"/>
              </w:rPr>
              <w:t>&gt;=3 mg/L</w:t>
            </w:r>
          </w:p>
        </w:tc>
        <w:tc>
          <w:tcPr>
            <w:tcW w:type="dxa" w:w="3456"/>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4"/>
              </w:rPr>
              <w:t>Fluorosis dental y esquelética por exposición crónica.</w:t>
            </w:r>
          </w:p>
        </w:tc>
      </w:tr>
      <w:tr>
        <w:trPr>
          <w:cantSplit/>
        </w:trPr>
        <w:tc>
          <w:tcPr>
            <w:tcW w:type="dxa" w:w="2088"/>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4"/>
              </w:rPr>
              <w:t>Cadmio</w:t>
            </w:r>
          </w:p>
        </w:tc>
        <w:tc>
          <w:tcPr>
            <w:tcW w:type="dxa" w:w="1512"/>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4"/>
              </w:rPr>
              <w:t>3 µg/L</w:t>
            </w:r>
          </w:p>
        </w:tc>
        <w:tc>
          <w:tcPr>
            <w:tcW w:type="dxa" w:w="144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4"/>
              </w:rPr>
              <w:t>4.5 µg/L</w:t>
            </w:r>
          </w:p>
        </w:tc>
        <w:tc>
          <w:tcPr>
            <w:tcW w:type="dxa" w:w="1656"/>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4"/>
              </w:rPr>
              <w:t>&gt;=6 µg/L</w:t>
            </w:r>
          </w:p>
        </w:tc>
        <w:tc>
          <w:tcPr>
            <w:tcW w:type="dxa" w:w="3456"/>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4"/>
              </w:rPr>
              <w:t>Disfunción tubular renal, daño óseo, toxicidad crónica.</w:t>
            </w:r>
          </w:p>
        </w:tc>
      </w:tr>
      <w:tr>
        <w:trPr>
          <w:cantSplit/>
        </w:trPr>
        <w:tc>
          <w:tcPr>
            <w:tcW w:type="dxa" w:w="2088"/>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4"/>
              </w:rPr>
              <w:t>Mercurio inorgánico</w:t>
            </w:r>
          </w:p>
        </w:tc>
        <w:tc>
          <w:tcPr>
            <w:tcW w:type="dxa" w:w="1512"/>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4"/>
              </w:rPr>
              <w:t>6 µg/L</w:t>
            </w:r>
          </w:p>
        </w:tc>
        <w:tc>
          <w:tcPr>
            <w:tcW w:type="dxa" w:w="144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4"/>
              </w:rPr>
              <w:t>9 µg/L</w:t>
            </w:r>
          </w:p>
        </w:tc>
        <w:tc>
          <w:tcPr>
            <w:tcW w:type="dxa" w:w="1656"/>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4"/>
              </w:rPr>
              <w:t>&gt;=12 µg/L</w:t>
            </w:r>
          </w:p>
        </w:tc>
        <w:tc>
          <w:tcPr>
            <w:tcW w:type="dxa" w:w="3456"/>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4"/>
              </w:rPr>
              <w:t>Neurotoxicidad y nefrotoxicidad; riesgo mayor en embarazo y niñez.</w:t>
            </w:r>
          </w:p>
        </w:tc>
      </w:tr>
      <w:tr>
        <w:trPr>
          <w:cantSplit/>
        </w:trPr>
        <w:tc>
          <w:tcPr>
            <w:tcW w:type="dxa" w:w="2088"/>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4"/>
              </w:rPr>
              <w:t>Microcistinas - crónico</w:t>
            </w:r>
          </w:p>
        </w:tc>
        <w:tc>
          <w:tcPr>
            <w:tcW w:type="dxa" w:w="1512"/>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4"/>
              </w:rPr>
              <w:t>1 µg/L</w:t>
            </w:r>
          </w:p>
        </w:tc>
        <w:tc>
          <w:tcPr>
            <w:tcW w:type="dxa" w:w="144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4"/>
              </w:rPr>
              <w:t>1.5 µg/L</w:t>
            </w:r>
          </w:p>
        </w:tc>
        <w:tc>
          <w:tcPr>
            <w:tcW w:type="dxa" w:w="1656"/>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4"/>
              </w:rPr>
              <w:t>&gt;=2 µg/L</w:t>
            </w:r>
          </w:p>
        </w:tc>
        <w:tc>
          <w:tcPr>
            <w:tcW w:type="dxa" w:w="3456"/>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4"/>
              </w:rPr>
              <w:t>Hepatotoxicidad, gastroenteritis, irritación cutánea; alerta por floraciones cianobacterianas.</w:t>
            </w:r>
          </w:p>
        </w:tc>
      </w:tr>
      <w:tr>
        <w:trPr>
          <w:cantSplit/>
        </w:trPr>
        <w:tc>
          <w:tcPr>
            <w:tcW w:type="dxa" w:w="2088"/>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4"/>
              </w:rPr>
              <w:t>Microcistinas - corto plazo</w:t>
            </w:r>
          </w:p>
        </w:tc>
        <w:tc>
          <w:tcPr>
            <w:tcW w:type="dxa" w:w="1512"/>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4"/>
              </w:rPr>
              <w:t>12 µg/L</w:t>
            </w:r>
          </w:p>
        </w:tc>
        <w:tc>
          <w:tcPr>
            <w:tcW w:type="dxa" w:w="144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4"/>
              </w:rPr>
              <w:t>18 µg/L</w:t>
            </w:r>
          </w:p>
        </w:tc>
        <w:tc>
          <w:tcPr>
            <w:tcW w:type="dxa" w:w="1656"/>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4"/>
              </w:rPr>
              <w:t>&gt;=24 µg/L</w:t>
            </w:r>
          </w:p>
        </w:tc>
        <w:tc>
          <w:tcPr>
            <w:tcW w:type="dxa" w:w="3456"/>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4"/>
              </w:rPr>
              <w:t>Riesgo agudo durante floraciones; evitar ingesta y exposición recreativa según contexto.</w:t>
            </w:r>
          </w:p>
        </w:tc>
      </w:tr>
      <w:tr>
        <w:trPr>
          <w:cantSplit/>
        </w:trPr>
        <w:tc>
          <w:tcPr>
            <w:tcW w:type="dxa" w:w="2088"/>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4"/>
              </w:rPr>
              <w:t>Saxitoxinas - agudo</w:t>
            </w:r>
          </w:p>
        </w:tc>
        <w:tc>
          <w:tcPr>
            <w:tcW w:type="dxa" w:w="1512"/>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4"/>
              </w:rPr>
              <w:t>3 µg/L</w:t>
            </w:r>
          </w:p>
        </w:tc>
        <w:tc>
          <w:tcPr>
            <w:tcW w:type="dxa" w:w="144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4"/>
              </w:rPr>
              <w:t>4.5 µg/L</w:t>
            </w:r>
          </w:p>
        </w:tc>
        <w:tc>
          <w:tcPr>
            <w:tcW w:type="dxa" w:w="1656"/>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4"/>
              </w:rPr>
              <w:t>&gt;=6 µg/L</w:t>
            </w:r>
          </w:p>
        </w:tc>
        <w:tc>
          <w:tcPr>
            <w:tcW w:type="dxa" w:w="3456"/>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4"/>
              </w:rPr>
              <w:t>Neurotoxicidad; parestesias, debilidad, parálisis en exposiciones severas.</w:t>
            </w:r>
          </w:p>
        </w:tc>
      </w:tr>
    </w:tbl>
    <w:p>
      <w:r>
        <w:rPr>
          <w:rFonts w:ascii="Arial" w:hAnsi="Arial" w:eastAsia="Arial"/>
        </w:rPr>
        <w:t>En aguas superficiales, las observaciones satelitales de color, turbidez, clorofila-a o ficocianina deben tratarse como proxy de floración algal. Para decisión sanitaria, SpaceAI debe exigir confirmación con análisis de toxinas o comunicación oficial cuando el evento pueda afectar abastecimiento, recreación o pesca.</w:t>
      </w:r>
    </w:p>
    <w:p>
      <w:pPr>
        <w:pStyle w:val="Heading2"/>
      </w:pPr>
      <w:r>
        <w:rPr>
          <w:rFonts w:ascii="Arial" w:hAnsi="Arial" w:eastAsia="Arial"/>
          <w:color w:val="2F75B5"/>
        </w:rPr>
        <w:t>5.3 Estrés térmico, sequía, inundación y clima</w:t>
      </w:r>
    </w:p>
    <w:p>
      <w:r>
        <w:rPr>
          <w:rFonts w:ascii="Arial" w:hAnsi="Arial" w:eastAsia="Arial"/>
        </w:rPr>
        <w:t>El calor extremo es un peligro ambiental y ocupacional de primera línea. La OMS señala que el estrés térmico puede exacerbar enfermedad cardiovascular, diabetes, salud mental, asma, accidentes y transmisión de algunas enfermedades infecciosas; el golpe de calor es una emergencia médica con alta letalidad [7]. El índice de calor de NOAA/NWS combina temperatura y humedad relativa como temperatura aparente; sus categorías se interpretan como riesgo fisiológico, no como porcentaje lineal [8].</w:t>
      </w:r>
    </w:p>
    <w:p>
      <w:pPr>
        <w:pStyle w:val="Caption"/>
        <w:keepNext/>
      </w:pPr>
      <w:r>
        <w:rPr>
          <w:b/>
          <w:sz w:val="18"/>
        </w:rPr>
        <w:t>Tabla 5. Escalas de estrés térmico aplicables a alerta temprana [7,8,18].</w:t>
      </w:r>
    </w:p>
    <w:tbl>
      <w:tblPr>
        <w:tblStyle w:val="TableGrid"/>
        <w:tblW w:type="auto" w:w="0"/>
        <w:jc w:val="center"/>
        <w:tblLayout w:type="autofit"/>
        <w:tblLook w:firstColumn="1" w:firstRow="1" w:lastColumn="0" w:lastRow="0" w:noHBand="0" w:noVBand="1" w:val="04A0"/>
      </w:tblPr>
      <w:tblGrid>
        <w:gridCol w:w="2007"/>
        <w:gridCol w:w="2007"/>
        <w:gridCol w:w="2007"/>
        <w:gridCol w:w="2007"/>
        <w:gridCol w:w="2007"/>
      </w:tblGrid>
      <w:tr>
        <w:trPr>
          <w:tblHeader w:val="true"/>
          <w:cantSplit/>
        </w:trPr>
        <w:tc>
          <w:tcPr>
            <w:tcW w:type="dxa" w:w="1872"/>
            <w:vAlign w:val="center"/>
            <w:shd w:fill="1F4E79"/>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color w:val="FFFFFF"/>
                <w:sz w:val="15"/>
              </w:rPr>
              <w:t>Indicador</w:t>
            </w:r>
          </w:p>
        </w:tc>
        <w:tc>
          <w:tcPr>
            <w:tcW w:type="dxa" w:w="2088"/>
            <w:vAlign w:val="center"/>
            <w:shd w:fill="1F4E79"/>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color w:val="FFFFFF"/>
                <w:sz w:val="15"/>
              </w:rPr>
              <w:t>Rango</w:t>
            </w:r>
          </w:p>
        </w:tc>
        <w:tc>
          <w:tcPr>
            <w:tcW w:type="dxa" w:w="1800"/>
            <w:vAlign w:val="center"/>
            <w:shd w:fill="1F4E79"/>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color w:val="FFFFFF"/>
                <w:sz w:val="15"/>
              </w:rPr>
              <w:t>Categoría</w:t>
            </w:r>
          </w:p>
        </w:tc>
        <w:tc>
          <w:tcPr>
            <w:tcW w:type="dxa" w:w="4320"/>
            <w:vAlign w:val="center"/>
            <w:shd w:fill="1F4E79"/>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color w:val="FFFFFF"/>
                <w:sz w:val="15"/>
              </w:rPr>
              <w:t>Efecto sanitario esperado</w:t>
            </w:r>
          </w:p>
        </w:tc>
        <w:tc>
          <w:tcPr>
            <w:tcW w:type="dxa" w:w="1368"/>
            <w:vAlign w:val="center"/>
            <w:shd w:fill="1F4E79"/>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color w:val="FFFFFF"/>
                <w:sz w:val="15"/>
              </w:rPr>
              <w:t>Nivel SpaceAI</w:t>
            </w:r>
          </w:p>
        </w:tc>
      </w:tr>
      <w:tr>
        <w:trPr>
          <w:cantSplit/>
        </w:trPr>
        <w:tc>
          <w:tcPr>
            <w:tcW w:type="dxa" w:w="1872"/>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Índice de calor</w:t>
            </w:r>
          </w:p>
        </w:tc>
        <w:tc>
          <w:tcPr>
            <w:tcW w:type="dxa" w:w="2088"/>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80-90 °F / 27-32 °C</w:t>
            </w:r>
          </w:p>
        </w:tc>
        <w:tc>
          <w:tcPr>
            <w:tcW w:type="dxa" w:w="180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Precaución</w:t>
            </w:r>
          </w:p>
        </w:tc>
        <w:tc>
          <w:tcPr>
            <w:tcW w:type="dxa" w:w="432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Fatiga posible con exposición prolongada o actividad física.</w:t>
            </w:r>
          </w:p>
        </w:tc>
        <w:tc>
          <w:tcPr>
            <w:tcW w:type="dxa" w:w="1368"/>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R1-R2</w:t>
            </w:r>
          </w:p>
        </w:tc>
      </w:tr>
      <w:tr>
        <w:trPr>
          <w:cantSplit/>
        </w:trPr>
        <w:tc>
          <w:tcPr>
            <w:tcW w:type="dxa" w:w="1872"/>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Índice de calor</w:t>
            </w:r>
          </w:p>
        </w:tc>
        <w:tc>
          <w:tcPr>
            <w:tcW w:type="dxa" w:w="2088"/>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90-103 °F / 32-39 °C</w:t>
            </w:r>
          </w:p>
        </w:tc>
        <w:tc>
          <w:tcPr>
            <w:tcW w:type="dxa" w:w="180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Precaución extrema</w:t>
            </w:r>
          </w:p>
        </w:tc>
        <w:tc>
          <w:tcPr>
            <w:tcW w:type="dxa" w:w="432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Posibles calambres, agotamiento o golpe de calor.</w:t>
            </w:r>
          </w:p>
        </w:tc>
        <w:tc>
          <w:tcPr>
            <w:tcW w:type="dxa" w:w="1368"/>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R3</w:t>
            </w:r>
          </w:p>
        </w:tc>
      </w:tr>
      <w:tr>
        <w:trPr>
          <w:cantSplit/>
        </w:trPr>
        <w:tc>
          <w:tcPr>
            <w:tcW w:type="dxa" w:w="1872"/>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Índice de calor</w:t>
            </w:r>
          </w:p>
        </w:tc>
        <w:tc>
          <w:tcPr>
            <w:tcW w:type="dxa" w:w="2088"/>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103-124 °F / 39-51 °C</w:t>
            </w:r>
          </w:p>
        </w:tc>
        <w:tc>
          <w:tcPr>
            <w:tcW w:type="dxa" w:w="180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Peligro</w:t>
            </w:r>
          </w:p>
        </w:tc>
        <w:tc>
          <w:tcPr>
            <w:tcW w:type="dxa" w:w="432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Calambres o agotamiento probables; golpe de calor posible.</w:t>
            </w:r>
          </w:p>
        </w:tc>
        <w:tc>
          <w:tcPr>
            <w:tcW w:type="dxa" w:w="1368"/>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R4</w:t>
            </w:r>
          </w:p>
        </w:tc>
      </w:tr>
      <w:tr>
        <w:trPr>
          <w:cantSplit/>
        </w:trPr>
        <w:tc>
          <w:tcPr>
            <w:tcW w:type="dxa" w:w="1872"/>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Índice de calor</w:t>
            </w:r>
          </w:p>
        </w:tc>
        <w:tc>
          <w:tcPr>
            <w:tcW w:type="dxa" w:w="2088"/>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&gt;=125 °F / &gt;=52 °C</w:t>
            </w:r>
          </w:p>
        </w:tc>
        <w:tc>
          <w:tcPr>
            <w:tcW w:type="dxa" w:w="180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Peligro extremo</w:t>
            </w:r>
          </w:p>
        </w:tc>
        <w:tc>
          <w:tcPr>
            <w:tcW w:type="dxa" w:w="432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Golpe de calor altamente probable.</w:t>
            </w:r>
          </w:p>
        </w:tc>
        <w:tc>
          <w:tcPr>
            <w:tcW w:type="dxa" w:w="1368"/>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R5</w:t>
            </w:r>
          </w:p>
        </w:tc>
      </w:tr>
      <w:tr>
        <w:trPr>
          <w:cantSplit/>
        </w:trPr>
        <w:tc>
          <w:tcPr>
            <w:tcW w:type="dxa" w:w="1872"/>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Temperatura de bulbo húmedo Tw</w:t>
            </w:r>
          </w:p>
        </w:tc>
        <w:tc>
          <w:tcPr>
            <w:tcW w:type="dxa" w:w="2088"/>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32-35 °C</w:t>
            </w:r>
          </w:p>
        </w:tc>
        <w:tc>
          <w:tcPr>
            <w:tcW w:type="dxa" w:w="180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Muy alto/extremo</w:t>
            </w:r>
          </w:p>
        </w:tc>
        <w:tc>
          <w:tcPr>
            <w:tcW w:type="dxa" w:w="432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Rango de estrés fisiológico severo; la literatura usa 35 °C como límite teórico tradicional, con riesgo real a valores menores según fisiología y exposición.</w:t>
            </w:r>
          </w:p>
        </w:tc>
        <w:tc>
          <w:tcPr>
            <w:tcW w:type="dxa" w:w="1368"/>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R4-R5</w:t>
            </w:r>
          </w:p>
        </w:tc>
      </w:tr>
    </w:tbl>
    <w:p>
      <w:pPr>
        <w:pStyle w:val="Caption"/>
        <w:keepNext/>
      </w:pPr>
      <w:r>
        <w:rPr>
          <w:b/>
          <w:sz w:val="18"/>
        </w:rPr>
        <w:t>Tabla 6. Indicadores climáticos complementarios y consecuencias sanitarias [7,17].</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rPr>
          <w:tblHeader w:val="true"/>
          <w:cantSplit/>
        </w:trPr>
        <w:tc>
          <w:tcPr>
            <w:tcW w:type="dxa" w:w="1800"/>
            <w:vAlign w:val="center"/>
            <w:shd w:fill="1F4E79"/>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color w:val="FFFFFF"/>
                <w:sz w:val="15"/>
              </w:rPr>
              <w:t>Indicador</w:t>
            </w:r>
          </w:p>
        </w:tc>
        <w:tc>
          <w:tcPr>
            <w:tcW w:type="dxa" w:w="3096"/>
            <w:vAlign w:val="center"/>
            <w:shd w:fill="1F4E79"/>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color w:val="FFFFFF"/>
                <w:sz w:val="15"/>
              </w:rPr>
              <w:t>Umbral/regla operativa</w:t>
            </w:r>
          </w:p>
        </w:tc>
        <w:tc>
          <w:tcPr>
            <w:tcW w:type="dxa" w:w="2880"/>
            <w:vAlign w:val="center"/>
            <w:shd w:fill="1F4E79"/>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color w:val="FFFFFF"/>
                <w:sz w:val="15"/>
              </w:rPr>
              <w:t>Nota técnica</w:t>
            </w:r>
          </w:p>
        </w:tc>
        <w:tc>
          <w:tcPr>
            <w:tcW w:type="dxa" w:w="3312"/>
            <w:vAlign w:val="center"/>
            <w:shd w:fill="1F4E79"/>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color w:val="FFFFFF"/>
                <w:sz w:val="15"/>
              </w:rPr>
              <w:t>Patologías/impactos</w:t>
            </w:r>
          </w:p>
        </w:tc>
      </w:tr>
      <w:tr>
        <w:trPr>
          <w:cantSplit/>
        </w:trPr>
        <w:tc>
          <w:tcPr>
            <w:tcW w:type="dxa" w:w="180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Inundación/lluvia extrema</w:t>
            </w:r>
          </w:p>
        </w:tc>
        <w:tc>
          <w:tcPr>
            <w:tcW w:type="dxa" w:w="3096"/>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Precipitación &gt;= percentil 95-99 local, desborde o anegamiento observado</w:t>
            </w:r>
          </w:p>
        </w:tc>
        <w:tc>
          <w:tcPr>
            <w:tcW w:type="dxa" w:w="288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No existe umbral universal; se calibra con climatología local.</w:t>
            </w:r>
          </w:p>
        </w:tc>
        <w:tc>
          <w:tcPr>
            <w:tcW w:type="dxa" w:w="3312"/>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Diarreas, leptospirosis, lesiones, contaminación de pozos, interrupción de servicios, proliferación vectorial.</w:t>
            </w:r>
          </w:p>
        </w:tc>
      </w:tr>
      <w:tr>
        <w:trPr>
          <w:cantSplit/>
        </w:trPr>
        <w:tc>
          <w:tcPr>
            <w:tcW w:type="dxa" w:w="180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Sequía meteorológica SPI</w:t>
            </w:r>
          </w:p>
        </w:tc>
        <w:tc>
          <w:tcPr>
            <w:tcW w:type="dxa" w:w="3096"/>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SPI &lt;= -1.5 severa; SPI &lt;= -2.0 extrema</w:t>
            </w:r>
          </w:p>
        </w:tc>
        <w:tc>
          <w:tcPr>
            <w:tcW w:type="dxa" w:w="288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Índice estandarizado; no lineal, recomendado por WMO para caracterizar sequía.</w:t>
            </w:r>
          </w:p>
        </w:tc>
        <w:tc>
          <w:tcPr>
            <w:tcW w:type="dxa" w:w="3312"/>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Escasez de agua, inseguridad alimentaria, polvo, incendios, deterioro de higiene y nutrición.</w:t>
            </w:r>
          </w:p>
        </w:tc>
      </w:tr>
      <w:tr>
        <w:trPr>
          <w:cantSplit/>
        </w:trPr>
        <w:tc>
          <w:tcPr>
            <w:tcW w:type="dxa" w:w="180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Incendios/humo</w:t>
            </w:r>
          </w:p>
        </w:tc>
        <w:tc>
          <w:tcPr>
            <w:tcW w:type="dxa" w:w="3096"/>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PM2.5 24 h &gt;=100% OMS o AQI &gt;=151</w:t>
            </w:r>
          </w:p>
        </w:tc>
        <w:tc>
          <w:tcPr>
            <w:tcW w:type="dxa" w:w="288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Combinar AOD/smoke plume con estaciones de PM2.5.</w:t>
            </w:r>
          </w:p>
        </w:tc>
        <w:tc>
          <w:tcPr>
            <w:tcW w:type="dxa" w:w="3312"/>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Asma, EPOC, eventos cardiovasculares, irritación ocular, intoxicación por CO en espacios cerrados.</w:t>
            </w:r>
          </w:p>
        </w:tc>
      </w:tr>
      <w:tr>
        <w:trPr>
          <w:cantSplit/>
        </w:trPr>
        <w:tc>
          <w:tcPr>
            <w:tcW w:type="dxa" w:w="180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Anomalía térmica urbana</w:t>
            </w:r>
          </w:p>
        </w:tc>
        <w:tc>
          <w:tcPr>
            <w:tcW w:type="dxa" w:w="3096"/>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Temperatura nocturna persistentemente elevada y bajo enfriamiento nocturno</w:t>
            </w:r>
          </w:p>
        </w:tc>
        <w:tc>
          <w:tcPr>
            <w:tcW w:type="dxa" w:w="288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Requiere percentiles locales y vulnerabilidad poblacional.</w:t>
            </w:r>
          </w:p>
        </w:tc>
        <w:tc>
          <w:tcPr>
            <w:tcW w:type="dxa" w:w="3312"/>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Mortalidad por calor, descompensación cardiovascular, renal y respiratoria.</w:t>
            </w:r>
          </w:p>
        </w:tc>
      </w:tr>
    </w:tbl>
    <w:p>
      <w:pPr>
        <w:pStyle w:val="Heading2"/>
      </w:pPr>
      <w:r>
        <w:rPr>
          <w:rFonts w:ascii="Arial" w:hAnsi="Arial" w:eastAsia="Arial"/>
          <w:color w:val="2F75B5"/>
        </w:rPr>
        <w:t>5.4 Radiación, ruido y ambiente construido</w:t>
      </w:r>
    </w:p>
    <w:p>
      <w:r>
        <w:rPr>
          <w:rFonts w:ascii="Arial" w:hAnsi="Arial" w:eastAsia="Arial"/>
        </w:rPr>
        <w:t>Los factores físicos pueden no producir brotes infecciosos, pero sí crisis por carga asistencial, mortalidad crónica o exposición masiva. El índice UV se asocia con daño cutáneo y ocular; el radón es un carcinógeno inhalatorio residencial; el ruido ambiental aumenta el riesgo de trastornos del sueño y enfermedad cardiovascular; la humedad interior sostenida favorece moho y síntomas respiratorios [9-13].</w:t>
      </w:r>
    </w:p>
    <w:p>
      <w:pPr>
        <w:pStyle w:val="Caption"/>
        <w:keepNext/>
      </w:pPr>
      <w:r>
        <w:rPr>
          <w:b/>
          <w:sz w:val="18"/>
        </w:rPr>
        <w:t>Tabla 7. Indicadores físicos y del ambiente construido [9-13].</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rPr>
          <w:tblHeader w:val="true"/>
          <w:cantSplit/>
        </w:trPr>
        <w:tc>
          <w:tcPr>
            <w:tcW w:type="dxa" w:w="1944"/>
            <w:vAlign w:val="center"/>
            <w:shd w:fill="1F4E79"/>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color w:val="FFFFFF"/>
                <w:sz w:val="15"/>
              </w:rPr>
              <w:t>Indicador</w:t>
            </w:r>
          </w:p>
        </w:tc>
        <w:tc>
          <w:tcPr>
            <w:tcW w:type="dxa" w:w="2592"/>
            <w:vAlign w:val="center"/>
            <w:shd w:fill="1F4E79"/>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color w:val="FFFFFF"/>
                <w:sz w:val="15"/>
              </w:rPr>
              <w:t>Referencia</w:t>
            </w:r>
          </w:p>
        </w:tc>
        <w:tc>
          <w:tcPr>
            <w:tcW w:type="dxa" w:w="3096"/>
            <w:vAlign w:val="center"/>
            <w:shd w:fill="1F4E79"/>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color w:val="FFFFFF"/>
                <w:sz w:val="15"/>
              </w:rPr>
              <w:t>Condición crítica o regla</w:t>
            </w:r>
          </w:p>
        </w:tc>
        <w:tc>
          <w:tcPr>
            <w:tcW w:type="dxa" w:w="3528"/>
            <w:vAlign w:val="center"/>
            <w:shd w:fill="1F4E79"/>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color w:val="FFFFFF"/>
                <w:sz w:val="15"/>
              </w:rPr>
              <w:t>Patologías/síndromes asociados</w:t>
            </w:r>
          </w:p>
        </w:tc>
      </w:tr>
      <w:tr>
        <w:trPr>
          <w:cantSplit/>
        </w:trPr>
        <w:tc>
          <w:tcPr>
            <w:tcW w:type="dxa" w:w="1944"/>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Índice UV</w:t>
            </w:r>
          </w:p>
        </w:tc>
        <w:tc>
          <w:tcPr>
            <w:tcW w:type="dxa" w:w="2592"/>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0-2 bajo; 3-7 protección; &gt;=8 evitar mediodía</w:t>
            </w:r>
          </w:p>
        </w:tc>
        <w:tc>
          <w:tcPr>
            <w:tcW w:type="dxa" w:w="3096"/>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&gt;=8 muy alto; &gt;=11 extremo</w:t>
            </w:r>
          </w:p>
        </w:tc>
        <w:tc>
          <w:tcPr>
            <w:tcW w:type="dxa" w:w="3528"/>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Quemadura solar, fotoenvejecimiento, cáncer de piel, cataratas, inmunomodulación.</w:t>
            </w:r>
          </w:p>
        </w:tc>
      </w:tr>
      <w:tr>
        <w:trPr>
          <w:cantSplit/>
        </w:trPr>
        <w:tc>
          <w:tcPr>
            <w:tcW w:type="dxa" w:w="1944"/>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Radón interior</w:t>
            </w:r>
          </w:p>
        </w:tc>
        <w:tc>
          <w:tcPr>
            <w:tcW w:type="dxa" w:w="2592"/>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100 Bq/m3</w:t>
            </w:r>
          </w:p>
        </w:tc>
        <w:tc>
          <w:tcPr>
            <w:tcW w:type="dxa" w:w="3096"/>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&gt;=300 Bq/m3 como límite superior de referencia cuando 100 no es alcanzable</w:t>
            </w:r>
          </w:p>
        </w:tc>
        <w:tc>
          <w:tcPr>
            <w:tcW w:type="dxa" w:w="3528"/>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Cáncer de pulmón; efecto sinérgico con tabaquismo.</w:t>
            </w:r>
          </w:p>
        </w:tc>
      </w:tr>
      <w:tr>
        <w:trPr>
          <w:cantSplit/>
        </w:trPr>
        <w:tc>
          <w:tcPr>
            <w:tcW w:type="dxa" w:w="1944"/>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Ruido vial Lden</w:t>
            </w:r>
          </w:p>
        </w:tc>
        <w:tc>
          <w:tcPr>
            <w:tcW w:type="dxa" w:w="2592"/>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53 dB</w:t>
            </w:r>
          </w:p>
        </w:tc>
        <w:tc>
          <w:tcPr>
            <w:tcW w:type="dxa" w:w="3096"/>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No usar porcentaje lineal por escala logarítmica; excedencia sostenida es alerta.</w:t>
            </w:r>
          </w:p>
        </w:tc>
        <w:tc>
          <w:tcPr>
            <w:tcW w:type="dxa" w:w="3528"/>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Cardiopatía isquémica, hipertensión, estrés, deterioro cognitivo y del bienestar.</w:t>
            </w:r>
          </w:p>
        </w:tc>
      </w:tr>
      <w:tr>
        <w:trPr>
          <w:cantSplit/>
        </w:trPr>
        <w:tc>
          <w:tcPr>
            <w:tcW w:type="dxa" w:w="1944"/>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Ruido nocturno vial Lnight</w:t>
            </w:r>
          </w:p>
        </w:tc>
        <w:tc>
          <w:tcPr>
            <w:tcW w:type="dxa" w:w="2592"/>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45 dB</w:t>
            </w:r>
          </w:p>
        </w:tc>
        <w:tc>
          <w:tcPr>
            <w:tcW w:type="dxa" w:w="3096"/>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Excedencia sostenida afecta sueño.</w:t>
            </w:r>
          </w:p>
        </w:tc>
        <w:tc>
          <w:tcPr>
            <w:tcW w:type="dxa" w:w="3528"/>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Trastornos del sueño, estrés, efectos cardiovasculares.</w:t>
            </w:r>
          </w:p>
        </w:tc>
      </w:tr>
      <w:tr>
        <w:trPr>
          <w:cantSplit/>
        </w:trPr>
        <w:tc>
          <w:tcPr>
            <w:tcW w:type="dxa" w:w="1944"/>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Humedad relativa interior</w:t>
            </w:r>
          </w:p>
        </w:tc>
        <w:tc>
          <w:tcPr>
            <w:tcW w:type="dxa" w:w="2592"/>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Mantener &lt;60%; ideal 30%-50%</w:t>
            </w:r>
          </w:p>
        </w:tc>
        <w:tc>
          <w:tcPr>
            <w:tcW w:type="dxa" w:w="3096"/>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&gt;60% sostenido; &gt;70% con daño por humedad o inundación</w:t>
            </w:r>
          </w:p>
        </w:tc>
        <w:tc>
          <w:tcPr>
            <w:tcW w:type="dxa" w:w="3528"/>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Moho, alergias, asma, rinitis, infecciones respiratorias, hipersensibilidad.</w:t>
            </w:r>
          </w:p>
        </w:tc>
      </w:tr>
    </w:tbl>
    <w:p>
      <w:pPr>
        <w:pStyle w:val="Heading2"/>
      </w:pPr>
      <w:r>
        <w:rPr>
          <w:rFonts w:ascii="Arial" w:hAnsi="Arial" w:eastAsia="Arial"/>
          <w:color w:val="2F75B5"/>
        </w:rPr>
        <w:t>5.5 Gases tóxicos y exposiciones agudas</w:t>
      </w:r>
    </w:p>
    <w:p>
      <w:r>
        <w:rPr>
          <w:rFonts w:ascii="Arial" w:hAnsi="Arial" w:eastAsia="Arial"/>
        </w:rPr>
        <w:t>Las exposiciones IDLH de NIOSH representan concentraciones inmediatamente peligrosas para la vida o la salud. En SpaceAI deben funcionar como regla de emergencia, no como porcentaje de rutina. Su utilidad es máxima en industrias, incendios, derrames, redes cloacales, plantas de tratamiento, refrigeración, minería o eventos de combustión [14].</w:t>
      </w:r>
    </w:p>
    <w:p>
      <w:pPr>
        <w:pStyle w:val="Caption"/>
        <w:keepNext/>
      </w:pPr>
      <w:r>
        <w:rPr>
          <w:b/>
          <w:sz w:val="18"/>
        </w:rPr>
        <w:t>Tabla 8. Valores IDLH seleccionados para gases de relevancia ambiental/industrial [14].</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rPr>
          <w:tblHeader w:val="true"/>
          <w:cantSplit/>
        </w:trPr>
        <w:tc>
          <w:tcPr>
            <w:tcW w:type="dxa" w:w="2232"/>
            <w:vAlign w:val="center"/>
            <w:shd w:fill="1F4E79"/>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color w:val="FFFFFF"/>
                <w:sz w:val="15"/>
              </w:rPr>
              <w:t>Gas</w:t>
            </w:r>
          </w:p>
        </w:tc>
        <w:tc>
          <w:tcPr>
            <w:tcW w:type="dxa" w:w="1800"/>
            <w:vAlign w:val="center"/>
            <w:shd w:fill="1F4E79"/>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color w:val="FFFFFF"/>
                <w:sz w:val="15"/>
              </w:rPr>
              <w:t>IDLH NIOSH</w:t>
            </w:r>
          </w:p>
        </w:tc>
        <w:tc>
          <w:tcPr>
            <w:tcW w:type="dxa" w:w="2016"/>
            <w:vAlign w:val="center"/>
            <w:shd w:fill="1F4E79"/>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color w:val="FFFFFF"/>
                <w:sz w:val="15"/>
              </w:rPr>
              <w:t>Regla SpaceAI</w:t>
            </w:r>
          </w:p>
        </w:tc>
        <w:tc>
          <w:tcPr>
            <w:tcW w:type="dxa" w:w="4968"/>
            <w:vAlign w:val="center"/>
            <w:shd w:fill="1F4E79"/>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color w:val="FFFFFF"/>
                <w:sz w:val="15"/>
              </w:rPr>
              <w:t>Efectos agudos principales</w:t>
            </w:r>
          </w:p>
        </w:tc>
      </w:tr>
      <w:tr>
        <w:trPr>
          <w:cantSplit/>
        </w:trPr>
        <w:tc>
          <w:tcPr>
            <w:tcW w:type="dxa" w:w="2232"/>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Monóxido de carbono (CO)</w:t>
            </w:r>
          </w:p>
        </w:tc>
        <w:tc>
          <w:tcPr>
            <w:tcW w:type="dxa" w:w="180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1,200 ppm</w:t>
            </w:r>
          </w:p>
        </w:tc>
        <w:tc>
          <w:tcPr>
            <w:tcW w:type="dxa" w:w="2016"/>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R5 emergencia</w:t>
            </w:r>
          </w:p>
        </w:tc>
        <w:tc>
          <w:tcPr>
            <w:tcW w:type="dxa" w:w="4968"/>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Hipoxia, cefalea, confusión, síncope, arritmias, muerte; mayor riesgo fetal y cardiaco.</w:t>
            </w:r>
          </w:p>
        </w:tc>
      </w:tr>
      <w:tr>
        <w:trPr>
          <w:cantSplit/>
        </w:trPr>
        <w:tc>
          <w:tcPr>
            <w:tcW w:type="dxa" w:w="2232"/>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Sulfuro de hidrógeno (H2S)</w:t>
            </w:r>
          </w:p>
        </w:tc>
        <w:tc>
          <w:tcPr>
            <w:tcW w:type="dxa" w:w="180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100 ppm</w:t>
            </w:r>
          </w:p>
        </w:tc>
        <w:tc>
          <w:tcPr>
            <w:tcW w:type="dxa" w:w="2016"/>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R5 emergencia</w:t>
            </w:r>
          </w:p>
        </w:tc>
        <w:tc>
          <w:tcPr>
            <w:tcW w:type="dxa" w:w="4968"/>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Irritación, edema pulmonar, colapso respiratorio, neurotoxicidad, muerte.</w:t>
            </w:r>
          </w:p>
        </w:tc>
      </w:tr>
      <w:tr>
        <w:trPr>
          <w:cantSplit/>
        </w:trPr>
        <w:tc>
          <w:tcPr>
            <w:tcW w:type="dxa" w:w="2232"/>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Cloro (Cl2)</w:t>
            </w:r>
          </w:p>
        </w:tc>
        <w:tc>
          <w:tcPr>
            <w:tcW w:type="dxa" w:w="180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10 ppm</w:t>
            </w:r>
          </w:p>
        </w:tc>
        <w:tc>
          <w:tcPr>
            <w:tcW w:type="dxa" w:w="2016"/>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R5 emergencia</w:t>
            </w:r>
          </w:p>
        </w:tc>
        <w:tc>
          <w:tcPr>
            <w:tcW w:type="dxa" w:w="4968"/>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Irritación severa, broncoespasmo, neumonitis química, edema pulmonar.</w:t>
            </w:r>
          </w:p>
        </w:tc>
      </w:tr>
      <w:tr>
        <w:trPr>
          <w:cantSplit/>
        </w:trPr>
        <w:tc>
          <w:tcPr>
            <w:tcW w:type="dxa" w:w="2232"/>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Amoníaco (NH3)</w:t>
            </w:r>
          </w:p>
        </w:tc>
        <w:tc>
          <w:tcPr>
            <w:tcW w:type="dxa" w:w="180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300 ppm</w:t>
            </w:r>
          </w:p>
        </w:tc>
        <w:tc>
          <w:tcPr>
            <w:tcW w:type="dxa" w:w="2016"/>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R5 emergencia</w:t>
            </w:r>
          </w:p>
        </w:tc>
        <w:tc>
          <w:tcPr>
            <w:tcW w:type="dxa" w:w="4968"/>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Quemadura química de mucosas, broncoespasmo, lesión pulmonar aguda.</w:t>
            </w:r>
          </w:p>
        </w:tc>
      </w:tr>
      <w:tr>
        <w:trPr>
          <w:cantSplit/>
        </w:trPr>
        <w:tc>
          <w:tcPr>
            <w:tcW w:type="dxa" w:w="2232"/>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Dióxido de carbono (CO2)</w:t>
            </w:r>
          </w:p>
        </w:tc>
        <w:tc>
          <w:tcPr>
            <w:tcW w:type="dxa" w:w="180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40,000 ppm IDLH</w:t>
            </w:r>
          </w:p>
        </w:tc>
        <w:tc>
          <w:tcPr>
            <w:tcW w:type="dxa" w:w="2016"/>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R5 emergencia en espacios confinados</w:t>
            </w:r>
          </w:p>
        </w:tc>
        <w:tc>
          <w:tcPr>
            <w:tcW w:type="dxa" w:w="4968"/>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Asfixia simple, acidosis respiratoria, pérdida de conciencia.</w:t>
            </w:r>
          </w:p>
        </w:tc>
      </w:tr>
    </w:tbl>
    <w:p>
      <w:pPr>
        <w:pStyle w:val="Heading2"/>
      </w:pPr>
      <w:r>
        <w:rPr>
          <w:rFonts w:ascii="Arial" w:hAnsi="Arial" w:eastAsia="Arial"/>
          <w:color w:val="2F75B5"/>
        </w:rPr>
        <w:t>5.6 Indicadores eco-epidemiológicos de vectores</w:t>
      </w:r>
    </w:p>
    <w:p>
      <w:r>
        <w:rPr>
          <w:rFonts w:ascii="Arial" w:hAnsi="Arial" w:eastAsia="Arial"/>
        </w:rPr>
        <w:t>Las enfermedades transmitidas por Aedes, como dengue, Zika y chikungunya, no dependen de un único umbral ambiental. La OMS y PAHO describen el aumento de temperaturas, humedad, lluvias, distribución del vector, urbanización y fragilidad de sistemas de salud como factores asociados a expansión y brotes de dengue [15,16]. SpaceAI debe modelar aptitud vectorial como índice compuesto, no como medición aislada.</w:t>
      </w:r>
    </w:p>
    <w:p>
      <w:pPr>
        <w:pStyle w:val="Caption"/>
        <w:keepNext/>
      </w:pPr>
      <w:r>
        <w:rPr>
          <w:b/>
          <w:sz w:val="18"/>
        </w:rPr>
        <w:t>Tabla 9. Indicadores eco-climáticos para arbovirosis urbanas [15,16].</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rPr>
          <w:tblHeader w:val="true"/>
          <w:cantSplit/>
        </w:trPr>
        <w:tc>
          <w:tcPr>
            <w:tcW w:type="dxa" w:w="2088"/>
            <w:vAlign w:val="center"/>
            <w:shd w:fill="1F4E79"/>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color w:val="FFFFFF"/>
                <w:sz w:val="15"/>
              </w:rPr>
              <w:t>Variable</w:t>
            </w:r>
          </w:p>
        </w:tc>
        <w:tc>
          <w:tcPr>
            <w:tcW w:type="dxa" w:w="3168"/>
            <w:vAlign w:val="center"/>
            <w:shd w:fill="1F4E79"/>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color w:val="FFFFFF"/>
                <w:sz w:val="15"/>
              </w:rPr>
              <w:t>Rango/regla de amenaza</w:t>
            </w:r>
          </w:p>
        </w:tc>
        <w:tc>
          <w:tcPr>
            <w:tcW w:type="dxa" w:w="3024"/>
            <w:vAlign w:val="center"/>
            <w:shd w:fill="1F4E79"/>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color w:val="FFFFFF"/>
                <w:sz w:val="15"/>
              </w:rPr>
              <w:t>Mecanismo</w:t>
            </w:r>
          </w:p>
        </w:tc>
        <w:tc>
          <w:tcPr>
            <w:tcW w:type="dxa" w:w="2880"/>
            <w:vAlign w:val="center"/>
            <w:shd w:fill="1F4E79"/>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color w:val="FFFFFF"/>
                <w:sz w:val="15"/>
              </w:rPr>
              <w:t>Patologías asociadas</w:t>
            </w:r>
          </w:p>
        </w:tc>
      </w:tr>
      <w:tr>
        <w:trPr>
          <w:cantSplit/>
        </w:trPr>
        <w:tc>
          <w:tcPr>
            <w:tcW w:type="dxa" w:w="2088"/>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Temperatura del aire</w:t>
            </w:r>
          </w:p>
        </w:tc>
        <w:tc>
          <w:tcPr>
            <w:tcW w:type="dxa" w:w="3168"/>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25-30 °C como rango operativo frecuente de mayor aptitud</w:t>
            </w:r>
          </w:p>
        </w:tc>
        <w:tc>
          <w:tcPr>
            <w:tcW w:type="dxa" w:w="3024"/>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Acelera ciclo del mosquito y replicación viral hasta límites térmicos.</w:t>
            </w:r>
          </w:p>
        </w:tc>
        <w:tc>
          <w:tcPr>
            <w:tcW w:type="dxa" w:w="288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Dengue, dengue grave, Zika, chikungunya.</w:t>
            </w:r>
          </w:p>
        </w:tc>
      </w:tr>
      <w:tr>
        <w:trPr>
          <w:cantSplit/>
        </w:trPr>
        <w:tc>
          <w:tcPr>
            <w:tcW w:type="dxa" w:w="2088"/>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Humedad relativa</w:t>
            </w:r>
          </w:p>
        </w:tc>
        <w:tc>
          <w:tcPr>
            <w:tcW w:type="dxa" w:w="3168"/>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&gt;60%-70% sostenida</w:t>
            </w:r>
          </w:p>
        </w:tc>
        <w:tc>
          <w:tcPr>
            <w:tcW w:type="dxa" w:w="3024"/>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Aumenta supervivencia adulta y prolonga ventana de transmisión.</w:t>
            </w:r>
          </w:p>
        </w:tc>
        <w:tc>
          <w:tcPr>
            <w:tcW w:type="dxa" w:w="288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Mayor probabilidad de transmisión vectorial.</w:t>
            </w:r>
          </w:p>
        </w:tc>
      </w:tr>
      <w:tr>
        <w:trPr>
          <w:cantSplit/>
        </w:trPr>
        <w:tc>
          <w:tcPr>
            <w:tcW w:type="dxa" w:w="2088"/>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Lluvia acumulada/agua estancada</w:t>
            </w:r>
          </w:p>
        </w:tc>
        <w:tc>
          <w:tcPr>
            <w:tcW w:type="dxa" w:w="3168"/>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Lluvias con rezago 2-8 semanas; recipientes urbanos y anegamientos</w:t>
            </w:r>
          </w:p>
        </w:tc>
        <w:tc>
          <w:tcPr>
            <w:tcW w:type="dxa" w:w="3024"/>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Crea criaderos; el exceso extremo puede lavar larvas, por lo que requiere calibración local.</w:t>
            </w:r>
          </w:p>
        </w:tc>
        <w:tc>
          <w:tcPr>
            <w:tcW w:type="dxa" w:w="288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Brotes de arbovirosis; riesgo en áreas urbanas densas.</w:t>
            </w:r>
          </w:p>
        </w:tc>
      </w:tr>
      <w:tr>
        <w:trPr>
          <w:cantSplit/>
        </w:trPr>
        <w:tc>
          <w:tcPr>
            <w:tcW w:type="dxa" w:w="2088"/>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Índice larvario/ovitrampas</w:t>
            </w:r>
          </w:p>
        </w:tc>
        <w:tc>
          <w:tcPr>
            <w:tcW w:type="dxa" w:w="3168"/>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Umbral local de autoridad sanitaria</w:t>
            </w:r>
          </w:p>
        </w:tc>
        <w:tc>
          <w:tcPr>
            <w:tcW w:type="dxa" w:w="3024"/>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Debe integrarse como evidencia de vector presente.</w:t>
            </w:r>
          </w:p>
        </w:tc>
        <w:tc>
          <w:tcPr>
            <w:tcW w:type="dxa" w:w="288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Escalamiento si coincide con casos humanos.</w:t>
            </w:r>
          </w:p>
        </w:tc>
      </w:tr>
      <w:tr>
        <w:trPr>
          <w:cantSplit/>
        </w:trPr>
        <w:tc>
          <w:tcPr>
            <w:tcW w:type="dxa" w:w="2088"/>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Casos humanos notificados</w:t>
            </w:r>
          </w:p>
        </w:tc>
        <w:tc>
          <w:tcPr>
            <w:tcW w:type="dxa" w:w="3168"/>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Incremento sobre línea base local</w:t>
            </w:r>
          </w:p>
        </w:tc>
        <w:tc>
          <w:tcPr>
            <w:tcW w:type="dxa" w:w="3024"/>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No es indicador ambiental, pero es indispensable para validación epidemiológica.</w:t>
            </w:r>
          </w:p>
        </w:tc>
        <w:tc>
          <w:tcPr>
            <w:tcW w:type="dxa" w:w="288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Transición de amenaza ambiental a brote sanitario.</w:t>
            </w:r>
          </w:p>
        </w:tc>
      </w:tr>
    </w:tbl>
    <w:p>
      <w:pPr>
        <w:pStyle w:val="Heading1"/>
      </w:pPr>
      <w:r>
        <w:rPr>
          <w:rFonts w:ascii="Arial" w:hAnsi="Arial" w:eastAsia="Arial"/>
          <w:color w:val="1F4E79"/>
        </w:rPr>
        <w:t>6. Integración operacional para SpaceAI</w:t>
      </w:r>
    </w:p>
    <w:p>
      <w:r>
        <w:rPr>
          <w:rFonts w:ascii="Arial" w:hAnsi="Arial" w:eastAsia="Arial"/>
        </w:rPr>
        <w:t>La arquitectura recomendada para SpaceAI es un modelo multicapa que combine medición ambiental, exposición poblacional, vulnerabilidad, persistencia y verificación epidemiológica. Una excedencia ambiental aislada puede ser ruido de medición; una excedencia persistente en una zona densamente poblada y vulnerable puede ser una señal temprana de crisis.</w:t>
      </w:r>
    </w:p>
    <w:p>
      <w:pPr>
        <w:pStyle w:val="Heading2"/>
      </w:pPr>
      <w:r>
        <w:rPr>
          <w:rFonts w:ascii="Arial" w:hAnsi="Arial" w:eastAsia="Arial"/>
          <w:color w:val="2F75B5"/>
        </w:rPr>
        <w:t>6.1 Reglas de scoring por indicador</w:t>
      </w:r>
    </w:p>
    <w:p>
      <w:r>
        <w:rPr>
          <w:rFonts w:ascii="Arial" w:hAnsi="Arial" w:eastAsia="Arial"/>
        </w:rPr>
        <w:t>Para indicadores continuos, usar el índice de excedencia relativa. Para indicadores categóricos, usar la escala oficial. Para indicadores binarios, activar regla de presencia/ausencia. Se recomienda que cada celda espacial y ventana temporal produzca un score por dominio y un score integrado.</w:t>
      </w:r>
    </w:p>
    <w:tbl>
      <w:tblPr>
        <w:tblStyle w:val="TableGrid"/>
        <w:tblW w:type="auto" w:w="0"/>
        <w:jc w:val="center"/>
        <w:tblLook w:firstColumn="1" w:firstRow="1" w:lastColumn="0" w:lastRow="0" w:noHBand="0" w:noVBand="1" w:val="04A0"/>
      </w:tblPr>
      <w:tblGrid>
        <w:gridCol w:w="10037"/>
      </w:tblGrid>
      <w:tr>
        <w:tc>
          <w:tcPr>
            <w:tcW w:type="dxa" w:w="10037"/>
            <w:shd w:fill="EAF2F8"/>
            <w:tcMar>
              <w:top w:w="120" w:type="dxa"/>
              <w:start w:w="160" w:type="dxa"/>
              <w:bottom w:w="120" w:type="dxa"/>
              <w:end w:w="160" w:type="dxa"/>
            </w:tcMar>
          </w:tcPr>
          <w:p>
            <w:pPr>
              <w:spacing w:after="80"/>
            </w:pPr>
            <w:r>
              <w:rPr>
                <w:rFonts w:ascii="Arial" w:hAnsi="Arial"/>
                <w:b/>
                <w:sz w:val="19"/>
              </w:rPr>
              <w:t>Índice compuesto de amenaza sanitaria ambiental (propuesta)</w:t>
            </w:r>
          </w:p>
          <w:p>
            <w:pPr>
              <w:spacing w:after="40"/>
            </w:pPr>
            <w:r>
              <w:rPr>
                <w:rFonts w:ascii="Arial" w:hAnsi="Arial"/>
                <w:sz w:val="18"/>
              </w:rPr>
              <w:t>Score_i = severidad_i x persistencia_i x confiabilidad_i</w:t>
            </w:r>
          </w:p>
          <w:p>
            <w:pPr>
              <w:spacing w:after="40"/>
            </w:pPr>
            <w:r>
              <w:rPr>
                <w:rFonts w:ascii="Arial" w:hAnsi="Arial"/>
                <w:sz w:val="18"/>
              </w:rPr>
              <w:t>HTI = suma(w_i x Score_i x vulnerabilidad_poblacional) / suma(w_i)</w:t>
            </w:r>
          </w:p>
          <w:p>
            <w:pPr>
              <w:spacing w:after="40"/>
            </w:pPr>
            <w:r>
              <w:rPr>
                <w:rFonts w:ascii="Arial" w:hAnsi="Arial"/>
                <w:sz w:val="18"/>
              </w:rPr>
              <w:t>Donde w_i es el peso del indicador según dominio, evidencia sanitaria y capacidad predictiva local.</w:t>
            </w:r>
          </w:p>
          <w:p>
            <w:pPr>
              <w:spacing w:after="40"/>
            </w:pPr>
            <w:r>
              <w:rPr>
                <w:rFonts w:ascii="Arial" w:hAnsi="Arial"/>
                <w:sz w:val="18"/>
              </w:rPr>
              <w:t>Persistencia sugerida: 1 = evento aislado; 1.25 = 2-3 días; 1.5 = 4-7 días; 2 = &gt;7 días o exposición crónica.</w:t>
            </w:r>
          </w:p>
        </w:tc>
      </w:tr>
    </w:tbl>
    <w:p>
      <w:pPr>
        <w:pStyle w:val="Heading2"/>
      </w:pPr>
      <w:r>
        <w:rPr>
          <w:rFonts w:ascii="Arial" w:hAnsi="Arial" w:eastAsia="Arial"/>
          <w:color w:val="2F75B5"/>
        </w:rPr>
        <w:t>6.2 Reglas de anulación o escalamiento inmediato</w:t>
      </w:r>
    </w:p>
    <w:p>
      <w:pPr>
        <w:pStyle w:val="ListBullet"/>
      </w:pPr>
      <w:r>
        <w:rPr>
          <w:rFonts w:ascii="Arial" w:hAnsi="Arial" w:eastAsia="Arial"/>
        </w:rPr>
        <w:t>E. coli detectable en agua potable: mínimo R4; R5 si afecta red de distribución, hospitales, escuelas o población infantil.</w:t>
      </w:r>
    </w:p>
    <w:p>
      <w:pPr>
        <w:pStyle w:val="ListBullet"/>
      </w:pPr>
      <w:r>
        <w:rPr>
          <w:rFonts w:ascii="Arial" w:hAnsi="Arial" w:eastAsia="Arial"/>
        </w:rPr>
        <w:t>AQI &gt;300: R5 por categoría peligrosa; AQI 201-300: R4.</w:t>
      </w:r>
    </w:p>
    <w:p>
      <w:pPr>
        <w:pStyle w:val="ListBullet"/>
      </w:pPr>
      <w:r>
        <w:rPr>
          <w:rFonts w:ascii="Arial" w:hAnsi="Arial" w:eastAsia="Arial"/>
        </w:rPr>
        <w:t>IDLH alcanzado o superado: R5 inmediato, con restricción de acceso y respuesta de emergencia.</w:t>
      </w:r>
    </w:p>
    <w:p>
      <w:pPr>
        <w:pStyle w:val="ListBullet"/>
      </w:pPr>
      <w:r>
        <w:rPr>
          <w:rFonts w:ascii="Arial" w:hAnsi="Arial" w:eastAsia="Arial"/>
        </w:rPr>
        <w:t>Índice de calor &gt;=125 °F: R5; 103-124 °F: R4, especialmente con baja capacidad de refrigeración o población mayor.</w:t>
      </w:r>
    </w:p>
    <w:p>
      <w:pPr>
        <w:pStyle w:val="ListBullet"/>
      </w:pPr>
      <w:r>
        <w:rPr>
          <w:rFonts w:ascii="Arial" w:hAnsi="Arial" w:eastAsia="Arial"/>
        </w:rPr>
        <w:t>Radón &gt;=300 Bq/m3: R4 para exposición crónica en interiores; no implica crisis aguda pero sí intervención prioritaria.</w:t>
      </w:r>
    </w:p>
    <w:p>
      <w:pPr>
        <w:pStyle w:val="ListBullet"/>
      </w:pPr>
      <w:r>
        <w:rPr>
          <w:rFonts w:ascii="Arial" w:hAnsi="Arial" w:eastAsia="Arial"/>
        </w:rPr>
        <w:t>Coincidencia de PM2.5 &gt;=200%, calor R4 y alta densidad de población vulnerable: escalar un nivel por co-exposición.</w:t>
      </w:r>
    </w:p>
    <w:p>
      <w:pPr>
        <w:pStyle w:val="ListBullet"/>
      </w:pPr>
      <w:r>
        <w:rPr>
          <w:rFonts w:ascii="Arial" w:hAnsi="Arial" w:eastAsia="Arial"/>
        </w:rPr>
        <w:t>Aptitud vectorial alta + casos humanos por encima de línea base: pasar de vigilancia ambiental a alerta epidemiológica.</w:t>
      </w:r>
    </w:p>
    <w:p>
      <w:pPr>
        <w:pStyle w:val="Heading2"/>
      </w:pPr>
      <w:r>
        <w:rPr>
          <w:rFonts w:ascii="Arial" w:hAnsi="Arial" w:eastAsia="Arial"/>
          <w:color w:val="2F75B5"/>
        </w:rPr>
        <w:t>6.3 Variables de vulnerabilidad poblacional</w:t>
      </w:r>
    </w:p>
    <w:p>
      <w:r>
        <w:rPr>
          <w:rFonts w:ascii="Arial" w:hAnsi="Arial" w:eastAsia="Arial"/>
        </w:rPr>
        <w:t>La misma concentración ambiental no produce igual riesgo en todos los grupos. SpaceAI debe incorporar capas demográficas y sanitarias, cuando estén disponibles: menores de 5 años, mayores de 65 años, embarazo, enfermedad respiratoria crónica, enfermedad cardiovascular, enfermedad renal, diabetes, inmunosupresión, trabajadores al aire libre, viviendas precarias, hacinamiento, falta de refrigeración, acceso limitado a agua segura y distancia a servicios de salud.</w:t>
      </w:r>
    </w:p>
    <w:p>
      <w:pPr>
        <w:pStyle w:val="Heading2"/>
      </w:pPr>
      <w:r>
        <w:rPr>
          <w:rFonts w:ascii="Arial" w:hAnsi="Arial" w:eastAsia="Arial"/>
          <w:color w:val="2F75B5"/>
        </w:rPr>
        <w:t>6.4 Diccionario resumido de dominios y fuentes de datos</w:t>
      </w:r>
    </w:p>
    <w:p>
      <w:pPr>
        <w:pStyle w:val="Caption"/>
        <w:keepNext/>
      </w:pPr>
      <w:r>
        <w:rPr>
          <w:b/>
          <w:sz w:val="18"/>
        </w:rPr>
        <w:t>Tabla 10. Dominios de ingestión recomendados para SpaceAI.</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rPr>
          <w:tblHeader w:val="true"/>
          <w:cantSplit/>
        </w:trPr>
        <w:tc>
          <w:tcPr>
            <w:tcW w:type="dxa" w:w="1512"/>
            <w:vAlign w:val="center"/>
            <w:shd w:fill="1F4E79"/>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color w:val="FFFFFF"/>
                <w:sz w:val="15"/>
              </w:rPr>
              <w:t>Dominio</w:t>
            </w:r>
          </w:p>
        </w:tc>
        <w:tc>
          <w:tcPr>
            <w:tcW w:type="dxa" w:w="2880"/>
            <w:vAlign w:val="center"/>
            <w:shd w:fill="1F4E79"/>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color w:val="FFFFFF"/>
                <w:sz w:val="15"/>
              </w:rPr>
              <w:t>Variables</w:t>
            </w:r>
          </w:p>
        </w:tc>
        <w:tc>
          <w:tcPr>
            <w:tcW w:type="dxa" w:w="4320"/>
            <w:vAlign w:val="center"/>
            <w:shd w:fill="1F4E79"/>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color w:val="FFFFFF"/>
                <w:sz w:val="15"/>
              </w:rPr>
              <w:t>Fuentes potenciales</w:t>
            </w:r>
          </w:p>
        </w:tc>
        <w:tc>
          <w:tcPr>
            <w:tcW w:type="dxa" w:w="2448"/>
            <w:vAlign w:val="center"/>
            <w:shd w:fill="1F4E79"/>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color w:val="FFFFFF"/>
                <w:sz w:val="15"/>
              </w:rPr>
              <w:t>Confiabilidad esperada</w:t>
            </w:r>
          </w:p>
        </w:tc>
      </w:tr>
      <w:tr>
        <w:trPr>
          <w:cantSplit/>
        </w:trPr>
        <w:tc>
          <w:tcPr>
            <w:tcW w:type="dxa" w:w="1512"/>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Aire</w:t>
            </w:r>
          </w:p>
        </w:tc>
        <w:tc>
          <w:tcPr>
            <w:tcW w:type="dxa" w:w="288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PM2.5, PM10, NO2, O3, SO2, CO, AQI</w:t>
            </w:r>
          </w:p>
        </w:tc>
        <w:tc>
          <w:tcPr>
            <w:tcW w:type="dxa" w:w="432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Estaciones regulatorias, sensores calibrados, modelos químicos, AOD satelital, TROPOMI para NO2</w:t>
            </w:r>
          </w:p>
        </w:tc>
        <w:tc>
          <w:tcPr>
            <w:tcW w:type="dxa" w:w="2448"/>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Alta para estaciones; moderada para proxy satelital sin calibración local.</w:t>
            </w:r>
          </w:p>
        </w:tc>
      </w:tr>
      <w:tr>
        <w:trPr>
          <w:cantSplit/>
        </w:trPr>
        <w:tc>
          <w:tcPr>
            <w:tcW w:type="dxa" w:w="1512"/>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Agua</w:t>
            </w:r>
          </w:p>
        </w:tc>
        <w:tc>
          <w:tcPr>
            <w:tcW w:type="dxa" w:w="288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E. coli, arsénico, plomo, nitrato, fluoruro, cianotoxinas</w:t>
            </w:r>
          </w:p>
        </w:tc>
        <w:tc>
          <w:tcPr>
            <w:tcW w:type="dxa" w:w="432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Laboratorio, redes de agua, sensores de calidad, teledetección de turbidez/clorofila como proxy</w:t>
            </w:r>
          </w:p>
        </w:tc>
        <w:tc>
          <w:tcPr>
            <w:tcW w:type="dxa" w:w="2448"/>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Alta con laboratorio; baja-moderada con proxy óptico.</w:t>
            </w:r>
          </w:p>
        </w:tc>
      </w:tr>
      <w:tr>
        <w:trPr>
          <w:cantSplit/>
        </w:trPr>
        <w:tc>
          <w:tcPr>
            <w:tcW w:type="dxa" w:w="1512"/>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Clima</w:t>
            </w:r>
          </w:p>
        </w:tc>
        <w:tc>
          <w:tcPr>
            <w:tcW w:type="dxa" w:w="288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Índice de calor, Tw, precipitación extrema, SPI, incendios</w:t>
            </w:r>
          </w:p>
        </w:tc>
        <w:tc>
          <w:tcPr>
            <w:tcW w:type="dxa" w:w="432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Meteorología, reanálisis, radar, satélite, detección de focos térmicos</w:t>
            </w:r>
          </w:p>
        </w:tc>
        <w:tc>
          <w:tcPr>
            <w:tcW w:type="dxa" w:w="2448"/>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Alta para estaciones; moderada para zonas sin observación de superficie.</w:t>
            </w:r>
          </w:p>
        </w:tc>
      </w:tr>
      <w:tr>
        <w:trPr>
          <w:cantSplit/>
        </w:trPr>
        <w:tc>
          <w:tcPr>
            <w:tcW w:type="dxa" w:w="1512"/>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Físicos/interiores</w:t>
            </w:r>
          </w:p>
        </w:tc>
        <w:tc>
          <w:tcPr>
            <w:tcW w:type="dxa" w:w="288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UV, radón, ruido, humedad interior</w:t>
            </w:r>
          </w:p>
        </w:tc>
        <w:tc>
          <w:tcPr>
            <w:tcW w:type="dxa" w:w="432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Estaciones UV, mapas geológicos, sensores urbanos/acústicos, sensores IoT de edificios</w:t>
            </w:r>
          </w:p>
        </w:tc>
        <w:tc>
          <w:tcPr>
            <w:tcW w:type="dxa" w:w="2448"/>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Variable; requiere validación local.</w:t>
            </w:r>
          </w:p>
        </w:tc>
      </w:tr>
      <w:tr>
        <w:trPr>
          <w:cantSplit/>
        </w:trPr>
        <w:tc>
          <w:tcPr>
            <w:tcW w:type="dxa" w:w="1512"/>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Vectores</w:t>
            </w:r>
          </w:p>
        </w:tc>
        <w:tc>
          <w:tcPr>
            <w:tcW w:type="dxa" w:w="288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Temperatura, humedad, lluvia, criaderos, ovitrampas, casos</w:t>
            </w:r>
          </w:p>
        </w:tc>
        <w:tc>
          <w:tcPr>
            <w:tcW w:type="dxa" w:w="432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Meteorología, imágenes urbanas, salud pública, vigilancia entomológica</w:t>
            </w:r>
          </w:p>
        </w:tc>
        <w:tc>
          <w:tcPr>
            <w:tcW w:type="dxa" w:w="2448"/>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5"/>
              </w:rPr>
              <w:t>Moderada; alta cuando hay datos entomológicos y epidemiológicos.</w:t>
            </w:r>
          </w:p>
        </w:tc>
      </w:tr>
    </w:tbl>
    <w:p>
      <w:pPr>
        <w:pStyle w:val="Heading1"/>
      </w:pPr>
      <w:r>
        <w:rPr>
          <w:rFonts w:ascii="Arial" w:hAnsi="Arial" w:eastAsia="Arial"/>
          <w:color w:val="1F4E79"/>
        </w:rPr>
        <w:t>7. Limitaciones técnicas</w:t>
      </w:r>
    </w:p>
    <w:p>
      <w:pPr>
        <w:pStyle w:val="ListBullet"/>
      </w:pPr>
      <w:r>
        <w:rPr>
          <w:rFonts w:ascii="Arial" w:hAnsi="Arial" w:eastAsia="Arial"/>
        </w:rPr>
        <w:t>Los valores de referencia de OMS y agencias no son necesariamente normas legales nacionales. Deben mapearse contra legislación local antes de generar comunicaciones públicas obligatorias.</w:t>
      </w:r>
    </w:p>
    <w:p>
      <w:pPr>
        <w:pStyle w:val="ListBullet"/>
      </w:pPr>
      <w:r>
        <w:rPr>
          <w:rFonts w:ascii="Arial" w:hAnsi="Arial" w:eastAsia="Arial"/>
        </w:rPr>
        <w:t>La métrica de 200% del umbral es una convención operacional para priorización; no implica que el riesgo clínico se duplique.</w:t>
      </w:r>
    </w:p>
    <w:p>
      <w:pPr>
        <w:pStyle w:val="ListBullet"/>
      </w:pPr>
      <w:r>
        <w:rPr>
          <w:rFonts w:ascii="Arial" w:hAnsi="Arial" w:eastAsia="Arial"/>
        </w:rPr>
        <w:t>Algunos indicadores tienen relación no lineal con daño: decibeles, AQI, índice UV, SPI e IDLH no deben convertirse mecánicamente a porcentaje.</w:t>
      </w:r>
    </w:p>
    <w:p>
      <w:pPr>
        <w:pStyle w:val="ListBullet"/>
      </w:pPr>
      <w:r>
        <w:rPr>
          <w:rFonts w:ascii="Arial" w:hAnsi="Arial" w:eastAsia="Arial"/>
        </w:rPr>
        <w:t>Las poblaciones vulnerables pueden presentar daño por debajo de los umbrales generales, especialmente ante co-exposición y baja capacidad adaptativa.</w:t>
      </w:r>
    </w:p>
    <w:p>
      <w:pPr>
        <w:pStyle w:val="ListBullet"/>
      </w:pPr>
      <w:r>
        <w:rPr>
          <w:rFonts w:ascii="Arial" w:hAnsi="Arial" w:eastAsia="Arial"/>
        </w:rPr>
        <w:t>Los datos satelitales suelen medir proxies, no contaminantes o patógenos directamente; para agua y toxinas es indispensable confirmación in situ.</w:t>
      </w:r>
    </w:p>
    <w:p>
      <w:pPr>
        <w:pStyle w:val="ListBullet"/>
      </w:pPr>
      <w:r>
        <w:rPr>
          <w:rFonts w:ascii="Arial" w:hAnsi="Arial" w:eastAsia="Arial"/>
        </w:rPr>
        <w:t>Las crisis sanitarias dependen de exposición efectiva: un valor alto en zona despoblada no tiene el mismo significado que un valor moderado persistente en una zona densamente poblada.</w:t>
      </w:r>
    </w:p>
    <w:p>
      <w:pPr>
        <w:pStyle w:val="ListBullet"/>
      </w:pPr>
      <w:r>
        <w:rPr>
          <w:rFonts w:ascii="Arial" w:hAnsi="Arial" w:eastAsia="Arial"/>
        </w:rPr>
        <w:t>La inferencia causal requiere integrar vigilancia epidemiológica, no solo variables ambientales.</w:t>
      </w:r>
    </w:p>
    <w:p>
      <w:pPr>
        <w:pStyle w:val="Heading1"/>
      </w:pPr>
      <w:r>
        <w:rPr>
          <w:rFonts w:ascii="Arial" w:hAnsi="Arial" w:eastAsia="Arial"/>
          <w:color w:val="1F4E79"/>
        </w:rPr>
        <w:t>8. Conclusiones</w:t>
      </w:r>
    </w:p>
    <w:p>
      <w:r>
        <w:rPr>
          <w:rFonts w:ascii="Arial" w:hAnsi="Arial" w:eastAsia="Arial"/>
        </w:rPr>
        <w:t>SpaceAI puede transformar datos ambientales heterogéneos en inteligencia sanitaria si aplica una matriz explícita de umbrales, porcentajes de excedencia y reglas de escalamiento. Los indicadores más accionables para crisis agudas son E. coli en agua potable, AQI/PM2.5, índice de calor, IDLH de gases tóxicos, inundaciones con compromiso de agua segura y aptitud eco-climática para vectores cuando coincide con señales epidemiológicas.</w:t>
      </w:r>
    </w:p>
    <w:p>
      <w:r>
        <w:rPr>
          <w:rFonts w:ascii="Arial" w:hAnsi="Arial" w:eastAsia="Arial"/>
        </w:rPr>
        <w:t>La recomendación central es implementar un Health Threat Index multicapa, con reglas específicas por dominio y un módulo de vulnerabilidad poblacional. El modelo debe evitar falsas equivalencias: no todos los indicadores admiten porcentajes lineales, y no todo cruce de umbral equivale a crisis. La potencia predictiva se maximiza al combinar excedencia, persistencia, co-exposición, densidad, vulnerabilidad y confirmación sanitaria.</w:t>
      </w:r>
    </w:p>
    <w:p>
      <w:r>
        <w:rPr>
          <w:rFonts w:ascii="Arial" w:hAnsi="Arial" w:eastAsia="Arial"/>
        </w:rPr>
        <w:t>Como hoja de ruta, se recomienda iniciar con cinco módulos de alta prioridad: aire exterior, agua potable, estrés térmico, inundación/sequía e indicadores de dengue. Estos módulos concentran alta carga sanitaria, disponibilidad de datos y utilidad directa para alerta temprana.</w:t>
      </w:r>
    </w:p>
    <w:p>
      <w:pPr>
        <w:pStyle w:val="Heading1"/>
      </w:pPr>
      <w:r>
        <w:rPr>
          <w:rFonts w:ascii="Arial" w:hAnsi="Arial" w:eastAsia="Arial"/>
          <w:color w:val="1F4E79"/>
        </w:rPr>
        <w:t>9. Referencias</w:t>
      </w:r>
    </w:p>
    <w:p>
      <w:pPr>
        <w:pStyle w:val="References"/>
      </w:pPr>
      <w:r>
        <w:rPr>
          <w:rFonts w:ascii="Arial" w:hAnsi="Arial" w:eastAsia="Arial"/>
          <w:b/>
          <w:sz w:val="17"/>
        </w:rPr>
        <w:t xml:space="preserve">[1] </w:t>
      </w:r>
      <w:r>
        <w:rPr>
          <w:rFonts w:ascii="Arial" w:hAnsi="Arial" w:eastAsia="Arial"/>
          <w:sz w:val="17"/>
        </w:rPr>
        <w:t>World Health Organization. WHO global air quality guidelines: particulate matter (PM2.5 and PM10), ozone, nitrogen dioxide, sulfur dioxide and carbon monoxide. Geneva: WHO; 2021. Valores de AQG recomendados: PM2.5, PM10, O3, NO2, SO2 y CO.</w:t>
      </w:r>
    </w:p>
    <w:p>
      <w:pPr>
        <w:pStyle w:val="References"/>
      </w:pPr>
      <w:r>
        <w:rPr>
          <w:rFonts w:ascii="Arial" w:hAnsi="Arial" w:eastAsia="Arial"/>
          <w:b/>
          <w:sz w:val="17"/>
        </w:rPr>
        <w:t xml:space="preserve">[2] </w:t>
      </w:r>
      <w:r>
        <w:rPr>
          <w:rFonts w:ascii="Arial" w:hAnsi="Arial" w:eastAsia="Arial"/>
          <w:sz w:val="17"/>
        </w:rPr>
        <w:t>AirNow.gov / U.S. Environmental Protection Agency. Air Quality Index (AQI) Basics. Consultado el 3 de junio de 2026.</w:t>
      </w:r>
    </w:p>
    <w:p>
      <w:pPr>
        <w:pStyle w:val="References"/>
      </w:pPr>
      <w:r>
        <w:rPr>
          <w:rFonts w:ascii="Arial" w:hAnsi="Arial" w:eastAsia="Arial"/>
          <w:b/>
          <w:sz w:val="17"/>
        </w:rPr>
        <w:t xml:space="preserve">[3] </w:t>
      </w:r>
      <w:r>
        <w:rPr>
          <w:rFonts w:ascii="Arial" w:hAnsi="Arial" w:eastAsia="Arial"/>
          <w:sz w:val="17"/>
        </w:rPr>
        <w:t>World Health Organization. Guidelines for drinking-water quality: fourth edition incorporating the first and second addenda. Geneva: WHO; 2022.</w:t>
      </w:r>
    </w:p>
    <w:p>
      <w:pPr>
        <w:pStyle w:val="References"/>
      </w:pPr>
      <w:r>
        <w:rPr>
          <w:rFonts w:ascii="Arial" w:hAnsi="Arial" w:eastAsia="Arial"/>
          <w:b/>
          <w:sz w:val="17"/>
        </w:rPr>
        <w:t xml:space="preserve">[4] </w:t>
      </w:r>
      <w:r>
        <w:rPr>
          <w:rFonts w:ascii="Arial" w:hAnsi="Arial" w:eastAsia="Arial"/>
          <w:sz w:val="17"/>
        </w:rPr>
        <w:t>World Health Organization. Guidelines for verification of microbial quality: E. coli or thermotolerant coliform bacteria must not be detectable in any 100 ml sample. En: Guidelines for drinking-water quality. WHO; 2022.</w:t>
      </w:r>
    </w:p>
    <w:p>
      <w:pPr>
        <w:pStyle w:val="References"/>
      </w:pPr>
      <w:r>
        <w:rPr>
          <w:rFonts w:ascii="Arial" w:hAnsi="Arial" w:eastAsia="Arial"/>
          <w:b/>
          <w:sz w:val="17"/>
        </w:rPr>
        <w:t xml:space="preserve">[5] </w:t>
      </w:r>
      <w:r>
        <w:rPr>
          <w:rFonts w:ascii="Arial" w:hAnsi="Arial" w:eastAsia="Arial"/>
          <w:sz w:val="17"/>
        </w:rPr>
        <w:t>World Health Organization. Table A3.3: Guideline values for chemicals that are of health significance in drinking-water. En: Guidelines for drinking-water quality. WHO; 2022.</w:t>
      </w:r>
    </w:p>
    <w:p>
      <w:pPr>
        <w:pStyle w:val="References"/>
      </w:pPr>
      <w:r>
        <w:rPr>
          <w:rFonts w:ascii="Arial" w:hAnsi="Arial" w:eastAsia="Arial"/>
          <w:b/>
          <w:sz w:val="17"/>
        </w:rPr>
        <w:t xml:space="preserve">[6] </w:t>
      </w:r>
      <w:r>
        <w:rPr>
          <w:rFonts w:ascii="Arial" w:hAnsi="Arial" w:eastAsia="Arial"/>
          <w:sz w:val="17"/>
        </w:rPr>
        <w:t>World Health Organization. Toxic cyanobacteria in water: a guide to their public health consequences, monitoring and management. 2nd ed. Geneva: WHO; 2021.</w:t>
      </w:r>
    </w:p>
    <w:p>
      <w:pPr>
        <w:pStyle w:val="References"/>
      </w:pPr>
      <w:r>
        <w:rPr>
          <w:rFonts w:ascii="Arial" w:hAnsi="Arial" w:eastAsia="Arial"/>
          <w:b/>
          <w:sz w:val="17"/>
        </w:rPr>
        <w:t xml:space="preserve">[7] </w:t>
      </w:r>
      <w:r>
        <w:rPr>
          <w:rFonts w:ascii="Arial" w:hAnsi="Arial" w:eastAsia="Arial"/>
          <w:sz w:val="17"/>
        </w:rPr>
        <w:t>World Health Organization. Heat and health. Fact sheet. 28 April 2026.</w:t>
      </w:r>
    </w:p>
    <w:p>
      <w:pPr>
        <w:pStyle w:val="References"/>
      </w:pPr>
      <w:r>
        <w:rPr>
          <w:rFonts w:ascii="Arial" w:hAnsi="Arial" w:eastAsia="Arial"/>
          <w:b/>
          <w:sz w:val="17"/>
        </w:rPr>
        <w:t xml:space="preserve">[8] </w:t>
      </w:r>
      <w:r>
        <w:rPr>
          <w:rFonts w:ascii="Arial" w:hAnsi="Arial" w:eastAsia="Arial"/>
          <w:sz w:val="17"/>
        </w:rPr>
        <w:t>National Oceanic and Atmospheric Administration / National Weather Service. What is the heat index? Heat index classifications and physiological effects. Consultado el 3 de junio de 2026.</w:t>
      </w:r>
    </w:p>
    <w:p>
      <w:pPr>
        <w:pStyle w:val="References"/>
      </w:pPr>
      <w:r>
        <w:rPr>
          <w:rFonts w:ascii="Arial" w:hAnsi="Arial" w:eastAsia="Arial"/>
          <w:b/>
          <w:sz w:val="17"/>
        </w:rPr>
        <w:t xml:space="preserve">[9] </w:t>
      </w:r>
      <w:r>
        <w:rPr>
          <w:rFonts w:ascii="Arial" w:hAnsi="Arial" w:eastAsia="Arial"/>
          <w:sz w:val="17"/>
        </w:rPr>
        <w:t>World Health Organization. Radiation: The ultraviolet (UV) index. Questions and answers. 2022.</w:t>
      </w:r>
    </w:p>
    <w:p>
      <w:pPr>
        <w:pStyle w:val="References"/>
      </w:pPr>
      <w:r>
        <w:rPr>
          <w:rFonts w:ascii="Arial" w:hAnsi="Arial" w:eastAsia="Arial"/>
          <w:b/>
          <w:sz w:val="17"/>
        </w:rPr>
        <w:t xml:space="preserve">[10] </w:t>
      </w:r>
      <w:r>
        <w:rPr>
          <w:rFonts w:ascii="Arial" w:hAnsi="Arial" w:eastAsia="Arial"/>
          <w:sz w:val="17"/>
        </w:rPr>
        <w:t>World Health Organization. WHO handbook on indoor radon: a public health perspective. Geneva: WHO; 2009. WHO Radon and health fact sheet. 2023.</w:t>
      </w:r>
    </w:p>
    <w:p>
      <w:pPr>
        <w:pStyle w:val="References"/>
      </w:pPr>
      <w:r>
        <w:rPr>
          <w:rFonts w:ascii="Arial" w:hAnsi="Arial" w:eastAsia="Arial"/>
          <w:b/>
          <w:sz w:val="17"/>
        </w:rPr>
        <w:t xml:space="preserve">[11] </w:t>
      </w:r>
      <w:r>
        <w:rPr>
          <w:rFonts w:ascii="Arial" w:hAnsi="Arial" w:eastAsia="Arial"/>
          <w:sz w:val="17"/>
        </w:rPr>
        <w:t>World Health Organization Regional Office for Europe. Environmental noise guidelines for the European Region. Copenhagen: WHO Regional Office for Europe; 2018.</w:t>
      </w:r>
    </w:p>
    <w:p>
      <w:pPr>
        <w:pStyle w:val="References"/>
      </w:pPr>
      <w:r>
        <w:rPr>
          <w:rFonts w:ascii="Arial" w:hAnsi="Arial" w:eastAsia="Arial"/>
          <w:b/>
          <w:sz w:val="17"/>
        </w:rPr>
        <w:t xml:space="preserve">[12] </w:t>
      </w:r>
      <w:r>
        <w:rPr>
          <w:rFonts w:ascii="Arial" w:hAnsi="Arial" w:eastAsia="Arial"/>
          <w:sz w:val="17"/>
        </w:rPr>
        <w:t>World Health Organization. WHO guidelines for indoor air quality: dampness and mould. Copenhagen: WHO Regional Office for Europe; 2009.</w:t>
      </w:r>
    </w:p>
    <w:p>
      <w:pPr>
        <w:pStyle w:val="References"/>
      </w:pPr>
      <w:r>
        <w:rPr>
          <w:rFonts w:ascii="Arial" w:hAnsi="Arial" w:eastAsia="Arial"/>
          <w:b/>
          <w:sz w:val="17"/>
        </w:rPr>
        <w:t xml:space="preserve">[13] </w:t>
      </w:r>
      <w:r>
        <w:rPr>
          <w:rFonts w:ascii="Arial" w:hAnsi="Arial" w:eastAsia="Arial"/>
          <w:sz w:val="17"/>
        </w:rPr>
        <w:t>U.S. Environmental Protection Agency. Mold Course Chapter 2: Humidity. Indoor relative humidity should be kept below 60%, ideally 30%-50%. Consultado el 3 de junio de 2026.</w:t>
      </w:r>
    </w:p>
    <w:p>
      <w:pPr>
        <w:pStyle w:val="References"/>
      </w:pPr>
      <w:r>
        <w:rPr>
          <w:rFonts w:ascii="Arial" w:hAnsi="Arial" w:eastAsia="Arial"/>
          <w:b/>
          <w:sz w:val="17"/>
        </w:rPr>
        <w:t xml:space="preserve">[14] </w:t>
      </w:r>
      <w:r>
        <w:rPr>
          <w:rFonts w:ascii="Arial" w:hAnsi="Arial" w:eastAsia="Arial"/>
          <w:sz w:val="17"/>
        </w:rPr>
        <w:t>National Institute for Occupational Safety and Health / Centers for Disease Control and Prevention. Table of Immediately Dangerous To Life or Health (IDLH) Values. Última revisión: 2021.</w:t>
      </w:r>
    </w:p>
    <w:p>
      <w:pPr>
        <w:pStyle w:val="References"/>
      </w:pPr>
      <w:r>
        <w:rPr>
          <w:rFonts w:ascii="Arial" w:hAnsi="Arial" w:eastAsia="Arial"/>
          <w:b/>
          <w:sz w:val="17"/>
        </w:rPr>
        <w:t xml:space="preserve">[15] </w:t>
      </w:r>
      <w:r>
        <w:rPr>
          <w:rFonts w:ascii="Arial" w:hAnsi="Arial" w:eastAsia="Arial"/>
          <w:sz w:val="17"/>
        </w:rPr>
        <w:t>World Health Organization. Dengue and severe dengue. Fact sheet. Consultado el 3 de junio de 2026.</w:t>
      </w:r>
    </w:p>
    <w:p>
      <w:pPr>
        <w:pStyle w:val="References"/>
      </w:pPr>
      <w:r>
        <w:rPr>
          <w:rFonts w:ascii="Arial" w:hAnsi="Arial" w:eastAsia="Arial"/>
          <w:b/>
          <w:sz w:val="17"/>
        </w:rPr>
        <w:t xml:space="preserve">[16] </w:t>
      </w:r>
      <w:r>
        <w:rPr>
          <w:rFonts w:ascii="Arial" w:hAnsi="Arial" w:eastAsia="Arial"/>
          <w:sz w:val="17"/>
        </w:rPr>
        <w:t>Pan American Health Organization. Risk assessment for public health related to dengue in the Region of the Americas. December 2023.</w:t>
      </w:r>
    </w:p>
    <w:p>
      <w:pPr>
        <w:pStyle w:val="References"/>
      </w:pPr>
      <w:r>
        <w:rPr>
          <w:rFonts w:ascii="Arial" w:hAnsi="Arial" w:eastAsia="Arial"/>
          <w:b/>
          <w:sz w:val="17"/>
        </w:rPr>
        <w:t xml:space="preserve">[17] </w:t>
      </w:r>
      <w:r>
        <w:rPr>
          <w:rFonts w:ascii="Arial" w:hAnsi="Arial" w:eastAsia="Arial"/>
          <w:sz w:val="17"/>
        </w:rPr>
        <w:t>World Meteorological Organization. Standardized Precipitation Index User Guide. WMO-No. 1090. Geneva: WMO; 2012.</w:t>
      </w:r>
    </w:p>
    <w:p>
      <w:pPr>
        <w:pStyle w:val="References"/>
      </w:pPr>
      <w:r>
        <w:rPr>
          <w:rFonts w:ascii="Arial" w:hAnsi="Arial" w:eastAsia="Arial"/>
          <w:b/>
          <w:sz w:val="17"/>
        </w:rPr>
        <w:t xml:space="preserve">[18] </w:t>
      </w:r>
      <w:r>
        <w:rPr>
          <w:rFonts w:ascii="Arial" w:hAnsi="Arial" w:eastAsia="Arial"/>
          <w:sz w:val="17"/>
        </w:rPr>
        <w:t>Vanos JK, Vecellio DJ, Wolf ST, et al. A physiological approach for assessing human survivability and liveability to heat in a changing climate. Nature Communications. 2023;14:7653.</w:t>
      </w:r>
    </w:p>
    <w:p>
      <w:pPr>
        <w:pStyle w:val="Heading1"/>
      </w:pPr>
      <w:r>
        <w:rPr>
          <w:rFonts w:ascii="Arial" w:hAnsi="Arial" w:eastAsia="Arial"/>
          <w:color w:val="1F4E79"/>
        </w:rPr>
        <w:t>Anexo A. Diccionario mínimo de variables para ingestión en SpaceAI</w:t>
      </w:r>
    </w:p>
    <w:p>
      <w:pPr>
        <w:pStyle w:val="Caption"/>
        <w:keepNext/>
      </w:pPr>
      <w:r>
        <w:rPr>
          <w:b/>
          <w:sz w:val="18"/>
        </w:rPr>
        <w:t>Tabla A1. Variables mínimas, unidades y umbrales para ingestión inicial.</w:t>
      </w:r>
    </w:p>
    <w:tbl>
      <w:tblPr>
        <w:tblStyle w:val="TableGrid"/>
        <w:tblW w:type="auto" w:w="0"/>
        <w:jc w:val="center"/>
        <w:tblLayout w:type="autofit"/>
        <w:tblLook w:firstColumn="1" w:firstRow="1" w:lastColumn="0" w:lastRow="0" w:noHBand="0" w:noVBand="1" w:val="04A0"/>
      </w:tblPr>
      <w:tblGrid>
        <w:gridCol w:w="1673"/>
        <w:gridCol w:w="1673"/>
        <w:gridCol w:w="1673"/>
        <w:gridCol w:w="1673"/>
        <w:gridCol w:w="1673"/>
        <w:gridCol w:w="1673"/>
      </w:tblGrid>
      <w:tr>
        <w:trPr>
          <w:tblHeader w:val="true"/>
          <w:cantSplit/>
        </w:trPr>
        <w:tc>
          <w:tcPr>
            <w:tcW w:type="dxa" w:w="1656"/>
            <w:vAlign w:val="center"/>
            <w:shd w:fill="1F4E79"/>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color w:val="FFFFFF"/>
                <w:sz w:val="13"/>
              </w:rPr>
              <w:t>Campo</w:t>
            </w:r>
          </w:p>
        </w:tc>
        <w:tc>
          <w:tcPr>
            <w:tcW w:type="dxa" w:w="2880"/>
            <w:vAlign w:val="center"/>
            <w:shd w:fill="1F4E79"/>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color w:val="FFFFFF"/>
                <w:sz w:val="13"/>
              </w:rPr>
              <w:t>Descripción</w:t>
            </w:r>
          </w:p>
        </w:tc>
        <w:tc>
          <w:tcPr>
            <w:tcW w:type="dxa" w:w="1512"/>
            <w:vAlign w:val="center"/>
            <w:shd w:fill="1F4E79"/>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color w:val="FFFFFF"/>
                <w:sz w:val="13"/>
              </w:rPr>
              <w:t>Unidad</w:t>
            </w:r>
          </w:p>
        </w:tc>
        <w:tc>
          <w:tcPr>
            <w:tcW w:type="dxa" w:w="2088"/>
            <w:vAlign w:val="center"/>
            <w:shd w:fill="1F4E79"/>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color w:val="FFFFFF"/>
                <w:sz w:val="13"/>
              </w:rPr>
              <w:t>Referencia</w:t>
            </w:r>
          </w:p>
        </w:tc>
        <w:tc>
          <w:tcPr>
            <w:tcW w:type="dxa" w:w="1800"/>
            <w:vAlign w:val="center"/>
            <w:shd w:fill="1F4E79"/>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color w:val="FFFFFF"/>
                <w:sz w:val="13"/>
              </w:rPr>
              <w:t>Fuente</w:t>
            </w:r>
          </w:p>
        </w:tc>
        <w:tc>
          <w:tcPr>
            <w:tcW w:type="dxa" w:w="1512"/>
            <w:vAlign w:val="center"/>
            <w:shd w:fill="1F4E79"/>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color w:val="FFFFFF"/>
                <w:sz w:val="13"/>
              </w:rPr>
              <w:t>Tipo</w:t>
            </w:r>
          </w:p>
        </w:tc>
      </w:tr>
      <w:tr>
        <w:trPr>
          <w:cantSplit/>
        </w:trPr>
        <w:tc>
          <w:tcPr>
            <w:tcW w:type="dxa" w:w="1656"/>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pm25_24h</w:t>
            </w:r>
          </w:p>
        </w:tc>
        <w:tc>
          <w:tcPr>
            <w:tcW w:type="dxa" w:w="288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PM2.5 promedio 24 h</w:t>
            </w:r>
          </w:p>
        </w:tc>
        <w:tc>
          <w:tcPr>
            <w:tcW w:type="dxa" w:w="1512"/>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µg/m3</w:t>
            </w:r>
          </w:p>
        </w:tc>
        <w:tc>
          <w:tcPr>
            <w:tcW w:type="dxa" w:w="2088"/>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15</w:t>
            </w:r>
          </w:p>
        </w:tc>
        <w:tc>
          <w:tcPr>
            <w:tcW w:type="dxa" w:w="180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OMS 2021</w:t>
            </w:r>
          </w:p>
        </w:tc>
        <w:tc>
          <w:tcPr>
            <w:tcW w:type="dxa" w:w="1512"/>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Continuo</w:t>
            </w:r>
          </w:p>
        </w:tc>
      </w:tr>
      <w:tr>
        <w:trPr>
          <w:cantSplit/>
        </w:trPr>
        <w:tc>
          <w:tcPr>
            <w:tcW w:type="dxa" w:w="1656"/>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pm25_annual</w:t>
            </w:r>
          </w:p>
        </w:tc>
        <w:tc>
          <w:tcPr>
            <w:tcW w:type="dxa" w:w="288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PM2.5 anual</w:t>
            </w:r>
          </w:p>
        </w:tc>
        <w:tc>
          <w:tcPr>
            <w:tcW w:type="dxa" w:w="1512"/>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µg/m3</w:t>
            </w:r>
          </w:p>
        </w:tc>
        <w:tc>
          <w:tcPr>
            <w:tcW w:type="dxa" w:w="2088"/>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5</w:t>
            </w:r>
          </w:p>
        </w:tc>
        <w:tc>
          <w:tcPr>
            <w:tcW w:type="dxa" w:w="180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OMS 2021</w:t>
            </w:r>
          </w:p>
        </w:tc>
        <w:tc>
          <w:tcPr>
            <w:tcW w:type="dxa" w:w="1512"/>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Continuo</w:t>
            </w:r>
          </w:p>
        </w:tc>
      </w:tr>
      <w:tr>
        <w:trPr>
          <w:cantSplit/>
        </w:trPr>
        <w:tc>
          <w:tcPr>
            <w:tcW w:type="dxa" w:w="1656"/>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pm10_24h</w:t>
            </w:r>
          </w:p>
        </w:tc>
        <w:tc>
          <w:tcPr>
            <w:tcW w:type="dxa" w:w="288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PM10 promedio 24 h</w:t>
            </w:r>
          </w:p>
        </w:tc>
        <w:tc>
          <w:tcPr>
            <w:tcW w:type="dxa" w:w="1512"/>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µg/m3</w:t>
            </w:r>
          </w:p>
        </w:tc>
        <w:tc>
          <w:tcPr>
            <w:tcW w:type="dxa" w:w="2088"/>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45</w:t>
            </w:r>
          </w:p>
        </w:tc>
        <w:tc>
          <w:tcPr>
            <w:tcW w:type="dxa" w:w="180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OMS 2021</w:t>
            </w:r>
          </w:p>
        </w:tc>
        <w:tc>
          <w:tcPr>
            <w:tcW w:type="dxa" w:w="1512"/>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Continuo</w:t>
            </w:r>
          </w:p>
        </w:tc>
      </w:tr>
      <w:tr>
        <w:trPr>
          <w:cantSplit/>
        </w:trPr>
        <w:tc>
          <w:tcPr>
            <w:tcW w:type="dxa" w:w="1656"/>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no2_24h</w:t>
            </w:r>
          </w:p>
        </w:tc>
        <w:tc>
          <w:tcPr>
            <w:tcW w:type="dxa" w:w="288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NO2 promedio 24 h</w:t>
            </w:r>
          </w:p>
        </w:tc>
        <w:tc>
          <w:tcPr>
            <w:tcW w:type="dxa" w:w="1512"/>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µg/m3</w:t>
            </w:r>
          </w:p>
        </w:tc>
        <w:tc>
          <w:tcPr>
            <w:tcW w:type="dxa" w:w="2088"/>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25</w:t>
            </w:r>
          </w:p>
        </w:tc>
        <w:tc>
          <w:tcPr>
            <w:tcW w:type="dxa" w:w="180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OMS 2021</w:t>
            </w:r>
          </w:p>
        </w:tc>
        <w:tc>
          <w:tcPr>
            <w:tcW w:type="dxa" w:w="1512"/>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Continuo</w:t>
            </w:r>
          </w:p>
        </w:tc>
      </w:tr>
      <w:tr>
        <w:trPr>
          <w:cantSplit/>
        </w:trPr>
        <w:tc>
          <w:tcPr>
            <w:tcW w:type="dxa" w:w="1656"/>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o3_8h</w:t>
            </w:r>
          </w:p>
        </w:tc>
        <w:tc>
          <w:tcPr>
            <w:tcW w:type="dxa" w:w="288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Ozono 8 h</w:t>
            </w:r>
          </w:p>
        </w:tc>
        <w:tc>
          <w:tcPr>
            <w:tcW w:type="dxa" w:w="1512"/>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µg/m3</w:t>
            </w:r>
          </w:p>
        </w:tc>
        <w:tc>
          <w:tcPr>
            <w:tcW w:type="dxa" w:w="2088"/>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100</w:t>
            </w:r>
          </w:p>
        </w:tc>
        <w:tc>
          <w:tcPr>
            <w:tcW w:type="dxa" w:w="180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OMS 2021</w:t>
            </w:r>
          </w:p>
        </w:tc>
        <w:tc>
          <w:tcPr>
            <w:tcW w:type="dxa" w:w="1512"/>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Continuo</w:t>
            </w:r>
          </w:p>
        </w:tc>
      </w:tr>
      <w:tr>
        <w:trPr>
          <w:cantSplit/>
        </w:trPr>
        <w:tc>
          <w:tcPr>
            <w:tcW w:type="dxa" w:w="1656"/>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co_24h</w:t>
            </w:r>
          </w:p>
        </w:tc>
        <w:tc>
          <w:tcPr>
            <w:tcW w:type="dxa" w:w="288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CO promedio 24 h</w:t>
            </w:r>
          </w:p>
        </w:tc>
        <w:tc>
          <w:tcPr>
            <w:tcW w:type="dxa" w:w="1512"/>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mg/m3</w:t>
            </w:r>
          </w:p>
        </w:tc>
        <w:tc>
          <w:tcPr>
            <w:tcW w:type="dxa" w:w="2088"/>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4</w:t>
            </w:r>
          </w:p>
        </w:tc>
        <w:tc>
          <w:tcPr>
            <w:tcW w:type="dxa" w:w="180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OMS 2021</w:t>
            </w:r>
          </w:p>
        </w:tc>
        <w:tc>
          <w:tcPr>
            <w:tcW w:type="dxa" w:w="1512"/>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Continuo</w:t>
            </w:r>
          </w:p>
        </w:tc>
      </w:tr>
      <w:tr>
        <w:trPr>
          <w:cantSplit/>
        </w:trPr>
        <w:tc>
          <w:tcPr>
            <w:tcW w:type="dxa" w:w="1656"/>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aqi</w:t>
            </w:r>
          </w:p>
        </w:tc>
        <w:tc>
          <w:tcPr>
            <w:tcW w:type="dxa" w:w="288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Air Quality Index</w:t>
            </w:r>
          </w:p>
        </w:tc>
        <w:tc>
          <w:tcPr>
            <w:tcW w:type="dxa" w:w="1512"/>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índice</w:t>
            </w:r>
          </w:p>
        </w:tc>
        <w:tc>
          <w:tcPr>
            <w:tcW w:type="dxa" w:w="2088"/>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Categorías EPA</w:t>
            </w:r>
          </w:p>
        </w:tc>
        <w:tc>
          <w:tcPr>
            <w:tcW w:type="dxa" w:w="180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EPA/AirNow</w:t>
            </w:r>
          </w:p>
        </w:tc>
        <w:tc>
          <w:tcPr>
            <w:tcW w:type="dxa" w:w="1512"/>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Categórico</w:t>
            </w:r>
          </w:p>
        </w:tc>
      </w:tr>
      <w:tr>
        <w:trPr>
          <w:cantSplit/>
        </w:trPr>
        <w:tc>
          <w:tcPr>
            <w:tcW w:type="dxa" w:w="1656"/>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ecoli_water</w:t>
            </w:r>
          </w:p>
        </w:tc>
        <w:tc>
          <w:tcPr>
            <w:tcW w:type="dxa" w:w="288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E. coli agua potable</w:t>
            </w:r>
          </w:p>
        </w:tc>
        <w:tc>
          <w:tcPr>
            <w:tcW w:type="dxa" w:w="1512"/>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MPN o UFC/100 ml</w:t>
            </w:r>
          </w:p>
        </w:tc>
        <w:tc>
          <w:tcPr>
            <w:tcW w:type="dxa" w:w="2088"/>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0</w:t>
            </w:r>
          </w:p>
        </w:tc>
        <w:tc>
          <w:tcPr>
            <w:tcW w:type="dxa" w:w="180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OMS 2022</w:t>
            </w:r>
          </w:p>
        </w:tc>
        <w:tc>
          <w:tcPr>
            <w:tcW w:type="dxa" w:w="1512"/>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Binario</w:t>
            </w:r>
          </w:p>
        </w:tc>
      </w:tr>
      <w:tr>
        <w:trPr>
          <w:cantSplit/>
        </w:trPr>
        <w:tc>
          <w:tcPr>
            <w:tcW w:type="dxa" w:w="1656"/>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arsenic_water</w:t>
            </w:r>
          </w:p>
        </w:tc>
        <w:tc>
          <w:tcPr>
            <w:tcW w:type="dxa" w:w="288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Arsénico agua potable</w:t>
            </w:r>
          </w:p>
        </w:tc>
        <w:tc>
          <w:tcPr>
            <w:tcW w:type="dxa" w:w="1512"/>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µg/L</w:t>
            </w:r>
          </w:p>
        </w:tc>
        <w:tc>
          <w:tcPr>
            <w:tcW w:type="dxa" w:w="2088"/>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10</w:t>
            </w:r>
          </w:p>
        </w:tc>
        <w:tc>
          <w:tcPr>
            <w:tcW w:type="dxa" w:w="180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OMS 2022</w:t>
            </w:r>
          </w:p>
        </w:tc>
        <w:tc>
          <w:tcPr>
            <w:tcW w:type="dxa" w:w="1512"/>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Continuo</w:t>
            </w:r>
          </w:p>
        </w:tc>
      </w:tr>
      <w:tr>
        <w:trPr>
          <w:cantSplit/>
        </w:trPr>
        <w:tc>
          <w:tcPr>
            <w:tcW w:type="dxa" w:w="1656"/>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lead_water</w:t>
            </w:r>
          </w:p>
        </w:tc>
        <w:tc>
          <w:tcPr>
            <w:tcW w:type="dxa" w:w="288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Plomo agua potable</w:t>
            </w:r>
          </w:p>
        </w:tc>
        <w:tc>
          <w:tcPr>
            <w:tcW w:type="dxa" w:w="1512"/>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µg/L</w:t>
            </w:r>
          </w:p>
        </w:tc>
        <w:tc>
          <w:tcPr>
            <w:tcW w:type="dxa" w:w="2088"/>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10</w:t>
            </w:r>
          </w:p>
        </w:tc>
        <w:tc>
          <w:tcPr>
            <w:tcW w:type="dxa" w:w="180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OMS 2022</w:t>
            </w:r>
          </w:p>
        </w:tc>
        <w:tc>
          <w:tcPr>
            <w:tcW w:type="dxa" w:w="1512"/>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Continuo con cautela</w:t>
            </w:r>
          </w:p>
        </w:tc>
      </w:tr>
      <w:tr>
        <w:trPr>
          <w:cantSplit/>
        </w:trPr>
        <w:tc>
          <w:tcPr>
            <w:tcW w:type="dxa" w:w="1656"/>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nitrate_water</w:t>
            </w:r>
          </w:p>
        </w:tc>
        <w:tc>
          <w:tcPr>
            <w:tcW w:type="dxa" w:w="288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Nitrato como NO3-</w:t>
            </w:r>
          </w:p>
        </w:tc>
        <w:tc>
          <w:tcPr>
            <w:tcW w:type="dxa" w:w="1512"/>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mg/L</w:t>
            </w:r>
          </w:p>
        </w:tc>
        <w:tc>
          <w:tcPr>
            <w:tcW w:type="dxa" w:w="2088"/>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50</w:t>
            </w:r>
          </w:p>
        </w:tc>
        <w:tc>
          <w:tcPr>
            <w:tcW w:type="dxa" w:w="180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OMS 2022</w:t>
            </w:r>
          </w:p>
        </w:tc>
        <w:tc>
          <w:tcPr>
            <w:tcW w:type="dxa" w:w="1512"/>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Continuo</w:t>
            </w:r>
          </w:p>
        </w:tc>
      </w:tr>
      <w:tr>
        <w:trPr>
          <w:cantSplit/>
        </w:trPr>
        <w:tc>
          <w:tcPr>
            <w:tcW w:type="dxa" w:w="1656"/>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microcystin_water</w:t>
            </w:r>
          </w:p>
        </w:tc>
        <w:tc>
          <w:tcPr>
            <w:tcW w:type="dxa" w:w="288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Microcistinas totales</w:t>
            </w:r>
          </w:p>
        </w:tc>
        <w:tc>
          <w:tcPr>
            <w:tcW w:type="dxa" w:w="1512"/>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µg/L</w:t>
            </w:r>
          </w:p>
        </w:tc>
        <w:tc>
          <w:tcPr>
            <w:tcW w:type="dxa" w:w="2088"/>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1 crónico / 12 corto plazo</w:t>
            </w:r>
          </w:p>
        </w:tc>
        <w:tc>
          <w:tcPr>
            <w:tcW w:type="dxa" w:w="180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OMS 2021/2022</w:t>
            </w:r>
          </w:p>
        </w:tc>
        <w:tc>
          <w:tcPr>
            <w:tcW w:type="dxa" w:w="1512"/>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Continuo</w:t>
            </w:r>
          </w:p>
        </w:tc>
      </w:tr>
      <w:tr>
        <w:trPr>
          <w:cantSplit/>
        </w:trPr>
        <w:tc>
          <w:tcPr>
            <w:tcW w:type="dxa" w:w="1656"/>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heat_index</w:t>
            </w:r>
          </w:p>
        </w:tc>
        <w:tc>
          <w:tcPr>
            <w:tcW w:type="dxa" w:w="288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Índice de calor</w:t>
            </w:r>
          </w:p>
        </w:tc>
        <w:tc>
          <w:tcPr>
            <w:tcW w:type="dxa" w:w="1512"/>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°F o °C aparente</w:t>
            </w:r>
          </w:p>
        </w:tc>
        <w:tc>
          <w:tcPr>
            <w:tcW w:type="dxa" w:w="2088"/>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103°F peligro</w:t>
            </w:r>
          </w:p>
        </w:tc>
        <w:tc>
          <w:tcPr>
            <w:tcW w:type="dxa" w:w="180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NOAA/NWS</w:t>
            </w:r>
          </w:p>
        </w:tc>
        <w:tc>
          <w:tcPr>
            <w:tcW w:type="dxa" w:w="1512"/>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Categórico</w:t>
            </w:r>
          </w:p>
        </w:tc>
      </w:tr>
      <w:tr>
        <w:trPr>
          <w:cantSplit/>
        </w:trPr>
        <w:tc>
          <w:tcPr>
            <w:tcW w:type="dxa" w:w="1656"/>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spi_3m</w:t>
            </w:r>
          </w:p>
        </w:tc>
        <w:tc>
          <w:tcPr>
            <w:tcW w:type="dxa" w:w="288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SPI a 3 meses</w:t>
            </w:r>
          </w:p>
        </w:tc>
        <w:tc>
          <w:tcPr>
            <w:tcW w:type="dxa" w:w="1512"/>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índice</w:t>
            </w:r>
          </w:p>
        </w:tc>
        <w:tc>
          <w:tcPr>
            <w:tcW w:type="dxa" w:w="2088"/>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&lt;=-1.5 severo</w:t>
            </w:r>
          </w:p>
        </w:tc>
        <w:tc>
          <w:tcPr>
            <w:tcW w:type="dxa" w:w="180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WMO</w:t>
            </w:r>
          </w:p>
        </w:tc>
        <w:tc>
          <w:tcPr>
            <w:tcW w:type="dxa" w:w="1512"/>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Categórico</w:t>
            </w:r>
          </w:p>
        </w:tc>
      </w:tr>
      <w:tr>
        <w:trPr>
          <w:cantSplit/>
        </w:trPr>
        <w:tc>
          <w:tcPr>
            <w:tcW w:type="dxa" w:w="1656"/>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uvi</w:t>
            </w:r>
          </w:p>
        </w:tc>
        <w:tc>
          <w:tcPr>
            <w:tcW w:type="dxa" w:w="288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Índice UV</w:t>
            </w:r>
          </w:p>
        </w:tc>
        <w:tc>
          <w:tcPr>
            <w:tcW w:type="dxa" w:w="1512"/>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índice</w:t>
            </w:r>
          </w:p>
        </w:tc>
        <w:tc>
          <w:tcPr>
            <w:tcW w:type="dxa" w:w="2088"/>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&gt;=8 alto; &gt;=11 extremo</w:t>
            </w:r>
          </w:p>
        </w:tc>
        <w:tc>
          <w:tcPr>
            <w:tcW w:type="dxa" w:w="180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OMS</w:t>
            </w:r>
          </w:p>
        </w:tc>
        <w:tc>
          <w:tcPr>
            <w:tcW w:type="dxa" w:w="1512"/>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Categórico</w:t>
            </w:r>
          </w:p>
        </w:tc>
      </w:tr>
      <w:tr>
        <w:trPr>
          <w:cantSplit/>
        </w:trPr>
        <w:tc>
          <w:tcPr>
            <w:tcW w:type="dxa" w:w="1656"/>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radon_indoor</w:t>
            </w:r>
          </w:p>
        </w:tc>
        <w:tc>
          <w:tcPr>
            <w:tcW w:type="dxa" w:w="288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Radón interior</w:t>
            </w:r>
          </w:p>
        </w:tc>
        <w:tc>
          <w:tcPr>
            <w:tcW w:type="dxa" w:w="1512"/>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Bq/m3</w:t>
            </w:r>
          </w:p>
        </w:tc>
        <w:tc>
          <w:tcPr>
            <w:tcW w:type="dxa" w:w="2088"/>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100; no exceder 300</w:t>
            </w:r>
          </w:p>
        </w:tc>
        <w:tc>
          <w:tcPr>
            <w:tcW w:type="dxa" w:w="180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OMS</w:t>
            </w:r>
          </w:p>
        </w:tc>
        <w:tc>
          <w:tcPr>
            <w:tcW w:type="dxa" w:w="1512"/>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Continuo</w:t>
            </w:r>
          </w:p>
        </w:tc>
      </w:tr>
      <w:tr>
        <w:trPr>
          <w:cantSplit/>
        </w:trPr>
        <w:tc>
          <w:tcPr>
            <w:tcW w:type="dxa" w:w="1656"/>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noise_lden</w:t>
            </w:r>
          </w:p>
        </w:tc>
        <w:tc>
          <w:tcPr>
            <w:tcW w:type="dxa" w:w="288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Ruido vial Lden</w:t>
            </w:r>
          </w:p>
        </w:tc>
        <w:tc>
          <w:tcPr>
            <w:tcW w:type="dxa" w:w="1512"/>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dB</w:t>
            </w:r>
          </w:p>
        </w:tc>
        <w:tc>
          <w:tcPr>
            <w:tcW w:type="dxa" w:w="2088"/>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53</w:t>
            </w:r>
          </w:p>
        </w:tc>
        <w:tc>
          <w:tcPr>
            <w:tcW w:type="dxa" w:w="180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OMS Europa</w:t>
            </w:r>
          </w:p>
        </w:tc>
        <w:tc>
          <w:tcPr>
            <w:tcW w:type="dxa" w:w="1512"/>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Logarítmico</w:t>
            </w:r>
          </w:p>
        </w:tc>
      </w:tr>
      <w:tr>
        <w:trPr>
          <w:cantSplit/>
        </w:trPr>
        <w:tc>
          <w:tcPr>
            <w:tcW w:type="dxa" w:w="1656"/>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rh_indoor</w:t>
            </w:r>
          </w:p>
        </w:tc>
        <w:tc>
          <w:tcPr>
            <w:tcW w:type="dxa" w:w="288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Humedad relativa interior</w:t>
            </w:r>
          </w:p>
        </w:tc>
        <w:tc>
          <w:tcPr>
            <w:tcW w:type="dxa" w:w="1512"/>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w:t>
            </w:r>
          </w:p>
        </w:tc>
        <w:tc>
          <w:tcPr>
            <w:tcW w:type="dxa" w:w="2088"/>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&lt;60 recomendado</w:t>
            </w:r>
          </w:p>
        </w:tc>
        <w:tc>
          <w:tcPr>
            <w:tcW w:type="dxa" w:w="180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EPA/OMS</w:t>
            </w:r>
          </w:p>
        </w:tc>
        <w:tc>
          <w:tcPr>
            <w:tcW w:type="dxa" w:w="1512"/>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Porcentaje directo</w:t>
            </w:r>
          </w:p>
        </w:tc>
      </w:tr>
      <w:tr>
        <w:trPr>
          <w:cantSplit/>
        </w:trPr>
        <w:tc>
          <w:tcPr>
            <w:tcW w:type="dxa" w:w="1656"/>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h2s_gas</w:t>
            </w:r>
          </w:p>
        </w:tc>
        <w:tc>
          <w:tcPr>
            <w:tcW w:type="dxa" w:w="288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Sulfuro de hidrógeno</w:t>
            </w:r>
          </w:p>
        </w:tc>
        <w:tc>
          <w:tcPr>
            <w:tcW w:type="dxa" w:w="1512"/>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ppm</w:t>
            </w:r>
          </w:p>
        </w:tc>
        <w:tc>
          <w:tcPr>
            <w:tcW w:type="dxa" w:w="2088"/>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100 IDLH</w:t>
            </w:r>
          </w:p>
        </w:tc>
        <w:tc>
          <w:tcPr>
            <w:tcW w:type="dxa" w:w="180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NIOSH</w:t>
            </w:r>
          </w:p>
        </w:tc>
        <w:tc>
          <w:tcPr>
            <w:tcW w:type="dxa" w:w="1512"/>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Emergencia</w:t>
            </w:r>
          </w:p>
        </w:tc>
      </w:tr>
      <w:tr>
        <w:trPr>
          <w:cantSplit/>
        </w:trPr>
        <w:tc>
          <w:tcPr>
            <w:tcW w:type="dxa" w:w="1656"/>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dengue_suitability</w:t>
            </w:r>
          </w:p>
        </w:tc>
        <w:tc>
          <w:tcPr>
            <w:tcW w:type="dxa" w:w="288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Aptitud eco-climática dengue</w:t>
            </w:r>
          </w:p>
        </w:tc>
        <w:tc>
          <w:tcPr>
            <w:tcW w:type="dxa" w:w="1512"/>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índice compuesto</w:t>
            </w:r>
          </w:p>
        </w:tc>
        <w:tc>
          <w:tcPr>
            <w:tcW w:type="dxa" w:w="2088"/>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Calibración local</w:t>
            </w:r>
          </w:p>
        </w:tc>
        <w:tc>
          <w:tcPr>
            <w:tcW w:type="dxa" w:w="1800"/>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OMS/PAHO</w:t>
            </w:r>
          </w:p>
        </w:tc>
        <w:tc>
          <w:tcPr>
            <w:tcW w:type="dxa" w:w="1512"/>
            <w:vAlign w:val="center"/>
            <w:tcMar>
              <w:top w:w="60" w:type="dxa"/>
              <w:start w:w="60" w:type="dxa"/>
              <w:bottom w:w="60" w:type="dxa"/>
              <w:end w:w="60" w:type="dxa"/>
            </w:tcMar>
          </w:tcPr>
          <w:p>
            <w:pPr>
              <w:spacing w:after="0" w:line="240" w:lineRule="auto"/>
              <w:jc w:val="left"/>
            </w:pPr>
            <w:r>
              <w:rPr>
                <w:rFonts w:ascii="Arial" w:hAnsi="Arial" w:eastAsia="Arial"/>
              </w:rPr>
            </w:r>
            <w:r>
              <w:rPr>
                <w:rFonts w:ascii="Arial" w:hAnsi="Arial" w:eastAsia="Arial"/>
                <w:b w:val="0"/>
                <w:sz w:val="13"/>
              </w:rPr>
              <w:t>Modelo compuesto</w:t>
            </w:r>
          </w:p>
        </w:tc>
      </w:tr>
    </w:tbl>
    <w:p>
      <w:r>
        <w:rPr>
          <w:rFonts w:ascii="Arial" w:hAnsi="Arial" w:eastAsia="Arial"/>
        </w:rPr>
        <w:t>Nota final: se recomienda validar este diccionario con estándares locales, disponibilidad real de datos, metadatos de calidad y autoridades sanitarias competentes antes de automatizar alertas públicas.</w:t>
      </w:r>
    </w:p>
    <w:sectPr w:rsidR="00FC693F" w:rsidRPr="0006063C" w:rsidSect="00034616">
      <w:headerReference w:type="default" r:id="rId9"/>
      <w:footerReference w:type="default" r:id="rId10"/>
      <w:pgSz w:w="11909" w:h="16834"/>
      <w:pgMar w:top="1008"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Documento técnico-científico | Página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595959"/>
        <w:sz w:val="16"/>
      </w:rPr>
      <w:t>Proyecto SpaceAI - Vigilancia ambiental y salud pública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s">
    <w:name w:val="References"/>
    <w:pPr>
      <w:spacing w:after="40"/>
      <w:ind w:left="360" w:hanging="360"/>
    </w:pPr>
    <w:rPr>
      <w:rFonts w:ascii="Arial" w:hAnsi="Arial" w:eastAsia="Arial"/>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Indicadores ambientales de amenaza con potencial de crisis sanitaria - SpaceAI</dc:title>
  <dc:subject>Documento técnico-científico sobre salud ambiental y alerta temprana</dc:subject>
  <dc:creator>OpenAI</dc:creator>
  <cp:keywords>SpaceAI, salud ambiental, crisis sanitaria, indicadores ambientales, umbrales, OMS, EPA, NIOSH, dengue, agua, aire</cp:keywords>
  <dc:description>Documento generado para el proyecto SpaceAI. Verificar y calibrar con normativa local.</dc:description>
  <cp:lastModifiedBy/>
  <cp:revision>1</cp:revision>
  <dcterms:created xsi:type="dcterms:W3CDTF">2013-12-23T23:15:00Z</dcterms:created>
  <dcterms:modified xsi:type="dcterms:W3CDTF">2013-12-23T23:15:00Z</dcterms:modified>
  <cp:category/>
</cp:coreProperties>
</file>