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A18" w:rsidRDefault="00445A18" w:rsidP="00445A18">
      <w:pPr>
        <w:spacing w:line="400" w:lineRule="exact"/>
        <w:ind w:leftChars="150" w:left="945" w:hangingChars="300" w:hanging="630"/>
        <w:rPr>
          <w:rFonts w:eastAsia="Times New Roman"/>
        </w:rPr>
      </w:pPr>
      <w:r>
        <w:rPr>
          <w:rFonts w:hint="eastAsia"/>
        </w:rPr>
        <w:t>费用参考标准：（元）</w:t>
      </w:r>
    </w:p>
    <w:tbl>
      <w:tblPr>
        <w:tblW w:w="0" w:type="auto"/>
        <w:tblInd w:w="1015" w:type="dxa"/>
        <w:tblLayout w:type="fixed"/>
        <w:tblLook w:val="04A0" w:firstRow="1" w:lastRow="0" w:firstColumn="1" w:lastColumn="0" w:noHBand="0" w:noVBand="1"/>
      </w:tblPr>
      <w:tblGrid>
        <w:gridCol w:w="1640"/>
        <w:gridCol w:w="1740"/>
        <w:gridCol w:w="1040"/>
        <w:gridCol w:w="2300"/>
        <w:gridCol w:w="1500"/>
      </w:tblGrid>
      <w:tr w:rsidR="00445A18" w:rsidTr="00445A18">
        <w:trPr>
          <w:trHeight w:val="690"/>
        </w:trPr>
        <w:tc>
          <w:tcPr>
            <w:tcW w:w="16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445A18" w:rsidRDefault="00445A18">
            <w:pPr>
              <w:widowControl/>
              <w:jc w:val="center"/>
              <w:rPr>
                <w:rFonts w:ascii="宋体" w:hAnsi="宋体"/>
                <w:kern w:val="0"/>
                <w:sz w:val="22"/>
              </w:rPr>
            </w:pPr>
            <w:r>
              <w:rPr>
                <w:rFonts w:ascii="宋体" w:hAnsi="宋体" w:hint="eastAsia"/>
                <w:kern w:val="0"/>
                <w:sz w:val="22"/>
              </w:rPr>
              <w:t>级别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445A18" w:rsidRDefault="00445A18">
            <w:pPr>
              <w:widowControl/>
              <w:jc w:val="center"/>
              <w:rPr>
                <w:rFonts w:ascii="宋体" w:hAnsi="宋体"/>
                <w:kern w:val="0"/>
                <w:sz w:val="22"/>
              </w:rPr>
            </w:pPr>
            <w:r>
              <w:rPr>
                <w:rFonts w:ascii="宋体" w:hAnsi="宋体" w:hint="eastAsia"/>
                <w:kern w:val="0"/>
                <w:sz w:val="22"/>
              </w:rPr>
              <w:t>外勤岗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445A18" w:rsidRDefault="00445A18">
            <w:pPr>
              <w:widowControl/>
              <w:jc w:val="center"/>
              <w:rPr>
                <w:rFonts w:ascii="宋体" w:hAnsi="宋体"/>
                <w:kern w:val="0"/>
                <w:sz w:val="22"/>
              </w:rPr>
            </w:pPr>
            <w:r>
              <w:rPr>
                <w:rFonts w:ascii="宋体" w:hAnsi="宋体" w:hint="eastAsia"/>
                <w:kern w:val="0"/>
                <w:sz w:val="22"/>
              </w:rPr>
              <w:t>复合岗</w:t>
            </w:r>
          </w:p>
        </w:tc>
        <w:tc>
          <w:tcPr>
            <w:tcW w:w="23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445A18" w:rsidRDefault="00445A18">
            <w:pPr>
              <w:widowControl/>
              <w:jc w:val="center"/>
              <w:rPr>
                <w:rFonts w:ascii="宋体" w:hAnsi="宋体"/>
                <w:kern w:val="0"/>
                <w:sz w:val="22"/>
              </w:rPr>
            </w:pPr>
            <w:r>
              <w:rPr>
                <w:rFonts w:ascii="宋体" w:hAnsi="宋体" w:hint="eastAsia"/>
                <w:kern w:val="0"/>
                <w:sz w:val="22"/>
              </w:rPr>
              <w:t>内勤岗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BFBFBF"/>
            <w:vAlign w:val="center"/>
            <w:hideMark/>
          </w:tcPr>
          <w:p w:rsidR="00445A18" w:rsidRDefault="00445A18">
            <w:pPr>
              <w:widowControl/>
              <w:jc w:val="center"/>
              <w:rPr>
                <w:rFonts w:ascii="宋体" w:hAnsi="宋体"/>
                <w:kern w:val="0"/>
                <w:sz w:val="22"/>
              </w:rPr>
            </w:pPr>
            <w:r>
              <w:rPr>
                <w:rFonts w:ascii="宋体" w:hAnsi="宋体" w:hint="eastAsia"/>
                <w:kern w:val="0"/>
                <w:sz w:val="22"/>
              </w:rPr>
              <w:t>备注</w:t>
            </w:r>
          </w:p>
        </w:tc>
      </w:tr>
      <w:tr w:rsidR="00445A18" w:rsidTr="00445A18">
        <w:trPr>
          <w:trHeight w:val="465"/>
        </w:trPr>
        <w:tc>
          <w:tcPr>
            <w:tcW w:w="16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5A18" w:rsidRDefault="00445A18">
            <w:pPr>
              <w:widowControl/>
              <w:jc w:val="center"/>
              <w:rPr>
                <w:rFonts w:ascii="宋体" w:hAnsi="宋体"/>
                <w:kern w:val="0"/>
                <w:sz w:val="22"/>
              </w:rPr>
            </w:pPr>
            <w:r>
              <w:rPr>
                <w:rFonts w:ascii="宋体" w:hAnsi="宋体" w:hint="eastAsia"/>
                <w:kern w:val="0"/>
                <w:sz w:val="22"/>
              </w:rPr>
              <w:t>总经理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5A18" w:rsidRDefault="00445A18">
            <w:pPr>
              <w:widowControl/>
              <w:jc w:val="center"/>
              <w:rPr>
                <w:rFonts w:ascii="宋体" w:hAnsi="宋体"/>
                <w:kern w:val="0"/>
                <w:sz w:val="22"/>
              </w:rPr>
            </w:pPr>
            <w:r>
              <w:rPr>
                <w:rFonts w:ascii="宋体" w:hAnsi="宋体" w:hint="eastAsia"/>
                <w:kern w:val="0"/>
                <w:sz w:val="22"/>
              </w:rPr>
              <w:t>不限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5A18" w:rsidRDefault="00445A18">
            <w:pPr>
              <w:widowControl/>
              <w:jc w:val="center"/>
              <w:rPr>
                <w:rFonts w:ascii="宋体" w:hAnsi="宋体"/>
                <w:kern w:val="0"/>
                <w:sz w:val="22"/>
              </w:rPr>
            </w:pPr>
            <w:r>
              <w:rPr>
                <w:rFonts w:ascii="宋体" w:hAnsi="宋体" w:hint="eastAsia"/>
                <w:kern w:val="0"/>
                <w:sz w:val="22"/>
              </w:rPr>
              <w:t>不限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5A18" w:rsidRDefault="00445A18">
            <w:pPr>
              <w:widowControl/>
              <w:jc w:val="center"/>
              <w:rPr>
                <w:rFonts w:ascii="宋体" w:hAnsi="宋体"/>
                <w:kern w:val="0"/>
                <w:sz w:val="22"/>
              </w:rPr>
            </w:pPr>
            <w:r>
              <w:rPr>
                <w:rFonts w:ascii="宋体" w:hAnsi="宋体" w:hint="eastAsia"/>
                <w:kern w:val="0"/>
                <w:sz w:val="22"/>
              </w:rPr>
              <w:t>不限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445A18" w:rsidRDefault="00445A18">
            <w:pPr>
              <w:widowControl/>
              <w:jc w:val="center"/>
              <w:rPr>
                <w:rFonts w:ascii="宋体" w:hAnsi="宋体"/>
                <w:kern w:val="0"/>
                <w:sz w:val="22"/>
              </w:rPr>
            </w:pPr>
            <w:r>
              <w:rPr>
                <w:rFonts w:ascii="宋体" w:hAnsi="宋体" w:hint="eastAsia"/>
                <w:kern w:val="0"/>
                <w:sz w:val="22"/>
              </w:rPr>
              <w:t xml:space="preserve">　</w:t>
            </w:r>
          </w:p>
        </w:tc>
      </w:tr>
      <w:tr w:rsidR="00445A18" w:rsidTr="00445A18">
        <w:trPr>
          <w:trHeight w:val="450"/>
        </w:trPr>
        <w:tc>
          <w:tcPr>
            <w:tcW w:w="16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5A18" w:rsidRDefault="00445A18">
            <w:pPr>
              <w:widowControl/>
              <w:jc w:val="center"/>
              <w:rPr>
                <w:rFonts w:ascii="宋体" w:hAnsi="宋体"/>
                <w:kern w:val="0"/>
                <w:sz w:val="22"/>
              </w:rPr>
            </w:pPr>
            <w:r>
              <w:rPr>
                <w:rFonts w:ascii="宋体" w:hAnsi="宋体" w:hint="eastAsia"/>
                <w:kern w:val="0"/>
                <w:sz w:val="22"/>
              </w:rPr>
              <w:t>常务副总经理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5A18" w:rsidRDefault="00445A18">
            <w:pPr>
              <w:widowControl/>
              <w:jc w:val="center"/>
              <w:rPr>
                <w:rFonts w:ascii="宋体" w:hAnsi="宋体"/>
                <w:kern w:val="0"/>
                <w:sz w:val="22"/>
              </w:rPr>
            </w:pPr>
            <w:r>
              <w:rPr>
                <w:rFonts w:ascii="宋体" w:hAnsi="宋体" w:hint="eastAsia"/>
                <w:kern w:val="0"/>
                <w:sz w:val="22"/>
              </w:rPr>
              <w:t>200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5A18" w:rsidRDefault="00445A18">
            <w:pPr>
              <w:widowControl/>
              <w:jc w:val="center"/>
              <w:rPr>
                <w:rFonts w:ascii="宋体" w:hAnsi="宋体"/>
                <w:kern w:val="0"/>
                <w:sz w:val="22"/>
              </w:rPr>
            </w:pPr>
            <w:r>
              <w:rPr>
                <w:rFonts w:ascii="宋体" w:hAnsi="宋体" w:hint="eastAsia"/>
                <w:kern w:val="0"/>
                <w:sz w:val="22"/>
              </w:rPr>
              <w:t>150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5A18" w:rsidRDefault="00445A18">
            <w:pPr>
              <w:widowControl/>
              <w:jc w:val="center"/>
              <w:rPr>
                <w:rFonts w:ascii="宋体" w:hAnsi="宋体"/>
                <w:kern w:val="0"/>
                <w:sz w:val="22"/>
              </w:rPr>
            </w:pPr>
            <w:r>
              <w:rPr>
                <w:rFonts w:ascii="宋体" w:hAnsi="宋体" w:hint="eastAsia"/>
                <w:kern w:val="0"/>
                <w:sz w:val="22"/>
              </w:rPr>
              <w:t>100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445A18" w:rsidRDefault="00445A18">
            <w:pPr>
              <w:widowControl/>
              <w:jc w:val="center"/>
              <w:rPr>
                <w:rFonts w:ascii="宋体" w:hAnsi="宋体"/>
                <w:kern w:val="0"/>
                <w:sz w:val="22"/>
              </w:rPr>
            </w:pPr>
            <w:r>
              <w:rPr>
                <w:rFonts w:ascii="宋体" w:hAnsi="宋体" w:hint="eastAsia"/>
                <w:kern w:val="0"/>
                <w:sz w:val="22"/>
              </w:rPr>
              <w:t xml:space="preserve">　</w:t>
            </w:r>
          </w:p>
        </w:tc>
      </w:tr>
      <w:tr w:rsidR="00445A18" w:rsidTr="00445A18">
        <w:trPr>
          <w:trHeight w:val="1215"/>
        </w:trPr>
        <w:tc>
          <w:tcPr>
            <w:tcW w:w="16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5A18" w:rsidRDefault="00445A18">
            <w:pPr>
              <w:widowControl/>
              <w:jc w:val="center"/>
              <w:rPr>
                <w:rFonts w:ascii="宋体" w:hAnsi="宋体"/>
                <w:kern w:val="0"/>
                <w:sz w:val="22"/>
              </w:rPr>
            </w:pPr>
            <w:r>
              <w:rPr>
                <w:rFonts w:ascii="宋体" w:hAnsi="宋体" w:hint="eastAsia"/>
                <w:kern w:val="0"/>
                <w:sz w:val="22"/>
              </w:rPr>
              <w:t>总监、副总监、总经理助理、特助、主任等同级别人员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5A18" w:rsidRDefault="00445A18">
            <w:pPr>
              <w:widowControl/>
              <w:jc w:val="center"/>
              <w:rPr>
                <w:rFonts w:ascii="宋体" w:hAnsi="宋体"/>
                <w:kern w:val="0"/>
                <w:sz w:val="22"/>
              </w:rPr>
            </w:pPr>
            <w:r>
              <w:rPr>
                <w:rFonts w:ascii="宋体" w:hAnsi="宋体" w:hint="eastAsia"/>
                <w:kern w:val="0"/>
                <w:sz w:val="22"/>
              </w:rPr>
              <w:t>150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5A18" w:rsidRDefault="00445A18">
            <w:pPr>
              <w:widowControl/>
              <w:jc w:val="center"/>
              <w:rPr>
                <w:rFonts w:ascii="宋体" w:hAnsi="宋体"/>
                <w:kern w:val="0"/>
                <w:sz w:val="22"/>
              </w:rPr>
            </w:pPr>
            <w:r>
              <w:rPr>
                <w:rFonts w:ascii="宋体" w:hAnsi="宋体" w:hint="eastAsia"/>
                <w:kern w:val="0"/>
                <w:sz w:val="22"/>
              </w:rPr>
              <w:t>100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5A18" w:rsidRDefault="00445A18">
            <w:pPr>
              <w:widowControl/>
              <w:jc w:val="center"/>
              <w:rPr>
                <w:rFonts w:ascii="宋体" w:hAnsi="宋体"/>
                <w:kern w:val="0"/>
                <w:sz w:val="22"/>
              </w:rPr>
            </w:pPr>
            <w:r>
              <w:rPr>
                <w:rFonts w:ascii="宋体" w:hAnsi="宋体" w:hint="eastAsia"/>
                <w:kern w:val="0"/>
                <w:sz w:val="22"/>
              </w:rPr>
              <w:t>80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445A18" w:rsidRDefault="00445A18">
            <w:pPr>
              <w:widowControl/>
              <w:jc w:val="center"/>
              <w:rPr>
                <w:rFonts w:ascii="宋体" w:hAnsi="宋体"/>
                <w:kern w:val="0"/>
                <w:sz w:val="22"/>
              </w:rPr>
            </w:pPr>
            <w:r>
              <w:rPr>
                <w:rFonts w:ascii="宋体" w:hAnsi="宋体" w:hint="eastAsia"/>
                <w:kern w:val="0"/>
                <w:sz w:val="22"/>
              </w:rPr>
              <w:t xml:space="preserve">　</w:t>
            </w:r>
          </w:p>
        </w:tc>
      </w:tr>
      <w:tr w:rsidR="00445A18" w:rsidTr="00445A18">
        <w:trPr>
          <w:trHeight w:val="780"/>
        </w:trPr>
        <w:tc>
          <w:tcPr>
            <w:tcW w:w="16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5A18" w:rsidRDefault="00445A18">
            <w:pPr>
              <w:widowControl/>
              <w:jc w:val="center"/>
              <w:rPr>
                <w:rFonts w:ascii="宋体" w:hAnsi="宋体"/>
                <w:kern w:val="0"/>
                <w:sz w:val="22"/>
              </w:rPr>
            </w:pPr>
            <w:r>
              <w:rPr>
                <w:rFonts w:ascii="宋体" w:hAnsi="宋体" w:hint="eastAsia"/>
                <w:kern w:val="0"/>
                <w:sz w:val="22"/>
              </w:rPr>
              <w:t>经理、副经理等同级别人员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5A18" w:rsidRDefault="00445A18">
            <w:pPr>
              <w:widowControl/>
              <w:jc w:val="center"/>
              <w:rPr>
                <w:rFonts w:ascii="宋体" w:hAnsi="宋体"/>
                <w:kern w:val="0"/>
                <w:sz w:val="22"/>
              </w:rPr>
            </w:pPr>
            <w:r>
              <w:rPr>
                <w:rFonts w:ascii="宋体" w:hAnsi="宋体" w:hint="eastAsia"/>
                <w:kern w:val="0"/>
                <w:sz w:val="22"/>
              </w:rPr>
              <w:t>120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5A18" w:rsidRDefault="00445A18">
            <w:pPr>
              <w:widowControl/>
              <w:jc w:val="center"/>
              <w:rPr>
                <w:rFonts w:ascii="宋体" w:hAnsi="宋体"/>
                <w:kern w:val="0"/>
                <w:sz w:val="22"/>
              </w:rPr>
            </w:pPr>
            <w:r>
              <w:rPr>
                <w:rFonts w:ascii="宋体" w:hAnsi="宋体" w:hint="eastAsia"/>
                <w:kern w:val="0"/>
                <w:sz w:val="22"/>
              </w:rPr>
              <w:t>80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5A18" w:rsidRDefault="00445A18">
            <w:pPr>
              <w:widowControl/>
              <w:jc w:val="center"/>
              <w:rPr>
                <w:rFonts w:ascii="宋体" w:hAnsi="宋体"/>
                <w:kern w:val="0"/>
                <w:sz w:val="22"/>
              </w:rPr>
            </w:pPr>
            <w:r>
              <w:rPr>
                <w:rFonts w:ascii="宋体" w:hAnsi="宋体" w:hint="eastAsia"/>
                <w:kern w:val="0"/>
                <w:sz w:val="22"/>
              </w:rPr>
              <w:t>50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445A18" w:rsidRDefault="00445A18">
            <w:pPr>
              <w:widowControl/>
              <w:jc w:val="center"/>
              <w:rPr>
                <w:rFonts w:ascii="宋体" w:hAnsi="宋体"/>
                <w:kern w:val="0"/>
                <w:sz w:val="22"/>
              </w:rPr>
            </w:pPr>
            <w:r>
              <w:rPr>
                <w:rFonts w:ascii="宋体" w:hAnsi="宋体" w:hint="eastAsia"/>
                <w:kern w:val="0"/>
                <w:sz w:val="22"/>
              </w:rPr>
              <w:t xml:space="preserve">　</w:t>
            </w:r>
          </w:p>
        </w:tc>
      </w:tr>
      <w:tr w:rsidR="00445A18" w:rsidTr="00445A18">
        <w:trPr>
          <w:trHeight w:val="1200"/>
        </w:trPr>
        <w:tc>
          <w:tcPr>
            <w:tcW w:w="16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5A18" w:rsidRDefault="00445A18">
            <w:pPr>
              <w:widowControl/>
              <w:jc w:val="center"/>
              <w:rPr>
                <w:rFonts w:ascii="宋体" w:hAnsi="宋体"/>
                <w:kern w:val="0"/>
                <w:sz w:val="22"/>
              </w:rPr>
            </w:pPr>
            <w:r>
              <w:rPr>
                <w:rFonts w:ascii="宋体" w:hAnsi="宋体" w:hint="eastAsia"/>
                <w:kern w:val="0"/>
                <w:sz w:val="22"/>
              </w:rPr>
              <w:t>课长、副课长、主任、副主任等同级别人员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5A18" w:rsidRDefault="00445A18">
            <w:pPr>
              <w:widowControl/>
              <w:jc w:val="center"/>
              <w:rPr>
                <w:rFonts w:ascii="宋体" w:hAnsi="宋体"/>
                <w:kern w:val="0"/>
                <w:sz w:val="22"/>
              </w:rPr>
            </w:pPr>
            <w:r>
              <w:rPr>
                <w:rFonts w:ascii="宋体" w:hAnsi="宋体" w:hint="eastAsia"/>
                <w:kern w:val="0"/>
                <w:sz w:val="22"/>
              </w:rPr>
              <w:t>100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5A18" w:rsidRDefault="00445A18">
            <w:pPr>
              <w:widowControl/>
              <w:jc w:val="center"/>
              <w:rPr>
                <w:rFonts w:ascii="宋体" w:hAnsi="宋体"/>
                <w:kern w:val="0"/>
                <w:sz w:val="22"/>
              </w:rPr>
            </w:pPr>
            <w:r>
              <w:rPr>
                <w:rFonts w:ascii="宋体" w:hAnsi="宋体" w:hint="eastAsia"/>
                <w:kern w:val="0"/>
                <w:sz w:val="22"/>
              </w:rPr>
              <w:t>50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5A18" w:rsidRDefault="00445A18">
            <w:pPr>
              <w:widowControl/>
              <w:jc w:val="center"/>
              <w:rPr>
                <w:rFonts w:ascii="宋体" w:hAnsi="宋体"/>
                <w:kern w:val="0"/>
                <w:sz w:val="22"/>
              </w:rPr>
            </w:pPr>
            <w:r>
              <w:rPr>
                <w:rFonts w:ascii="宋体" w:hAnsi="宋体" w:hint="eastAsia"/>
                <w:kern w:val="0"/>
                <w:sz w:val="22"/>
              </w:rPr>
              <w:t>30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445A18" w:rsidRDefault="00445A18">
            <w:pPr>
              <w:widowControl/>
              <w:jc w:val="center"/>
              <w:rPr>
                <w:rFonts w:ascii="宋体" w:hAnsi="宋体"/>
                <w:kern w:val="0"/>
                <w:sz w:val="22"/>
              </w:rPr>
            </w:pPr>
            <w:r>
              <w:rPr>
                <w:rFonts w:ascii="宋体" w:hAnsi="宋体" w:hint="eastAsia"/>
                <w:kern w:val="0"/>
                <w:sz w:val="22"/>
              </w:rPr>
              <w:t xml:space="preserve">　</w:t>
            </w:r>
          </w:p>
        </w:tc>
      </w:tr>
      <w:tr w:rsidR="00445A18" w:rsidTr="00445A18">
        <w:trPr>
          <w:trHeight w:val="1515"/>
        </w:trPr>
        <w:tc>
          <w:tcPr>
            <w:tcW w:w="16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5A18" w:rsidRDefault="00445A18">
            <w:pPr>
              <w:widowControl/>
              <w:jc w:val="center"/>
              <w:rPr>
                <w:rFonts w:ascii="宋体" w:hAnsi="宋体"/>
                <w:kern w:val="0"/>
                <w:sz w:val="22"/>
              </w:rPr>
            </w:pPr>
            <w:r>
              <w:rPr>
                <w:rFonts w:ascii="宋体" w:hAnsi="宋体" w:hint="eastAsia"/>
                <w:kern w:val="0"/>
                <w:sz w:val="22"/>
              </w:rPr>
              <w:t>专员、高级专员、总经办秘书、部门模块下组长等同级别人员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5A18" w:rsidRDefault="00445A18">
            <w:pPr>
              <w:widowControl/>
              <w:jc w:val="center"/>
              <w:rPr>
                <w:rFonts w:ascii="宋体" w:hAnsi="宋体"/>
                <w:kern w:val="0"/>
                <w:sz w:val="22"/>
              </w:rPr>
            </w:pPr>
            <w:r>
              <w:rPr>
                <w:rFonts w:ascii="宋体" w:hAnsi="宋体" w:hint="eastAsia"/>
                <w:kern w:val="0"/>
                <w:sz w:val="22"/>
              </w:rPr>
              <w:t>80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5A18" w:rsidRDefault="00445A18">
            <w:pPr>
              <w:widowControl/>
              <w:jc w:val="center"/>
              <w:rPr>
                <w:rFonts w:ascii="宋体" w:hAnsi="宋体"/>
                <w:kern w:val="0"/>
                <w:sz w:val="22"/>
              </w:rPr>
            </w:pPr>
            <w:r>
              <w:rPr>
                <w:rFonts w:ascii="宋体" w:hAnsi="宋体" w:hint="eastAsia"/>
                <w:kern w:val="0"/>
                <w:sz w:val="22"/>
              </w:rPr>
              <w:t>30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5A18" w:rsidRDefault="00445A18">
            <w:pPr>
              <w:widowControl/>
              <w:jc w:val="center"/>
              <w:rPr>
                <w:rFonts w:ascii="宋体" w:hAnsi="宋体"/>
                <w:kern w:val="0"/>
                <w:sz w:val="22"/>
              </w:rPr>
            </w:pPr>
            <w:r>
              <w:rPr>
                <w:rFonts w:ascii="宋体" w:hAnsi="宋体" w:hint="eastAsia"/>
                <w:kern w:val="0"/>
                <w:sz w:val="22"/>
              </w:rPr>
              <w:t>20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445A18" w:rsidRDefault="00445A18">
            <w:pPr>
              <w:widowControl/>
              <w:jc w:val="center"/>
              <w:rPr>
                <w:rFonts w:ascii="宋体" w:hAnsi="宋体"/>
                <w:kern w:val="0"/>
                <w:sz w:val="22"/>
              </w:rPr>
            </w:pPr>
            <w:r>
              <w:rPr>
                <w:rFonts w:ascii="宋体" w:hAnsi="宋体" w:hint="eastAsia"/>
                <w:kern w:val="0"/>
                <w:sz w:val="22"/>
              </w:rPr>
              <w:t xml:space="preserve">　</w:t>
            </w:r>
          </w:p>
        </w:tc>
      </w:tr>
      <w:tr w:rsidR="00445A18" w:rsidTr="00445A18">
        <w:trPr>
          <w:trHeight w:val="1200"/>
        </w:trPr>
        <w:tc>
          <w:tcPr>
            <w:tcW w:w="164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445A18" w:rsidRDefault="00445A18">
            <w:pPr>
              <w:widowControl/>
              <w:jc w:val="center"/>
              <w:rPr>
                <w:rFonts w:ascii="宋体" w:hAnsi="宋体"/>
                <w:kern w:val="0"/>
                <w:sz w:val="22"/>
              </w:rPr>
            </w:pPr>
            <w:r>
              <w:rPr>
                <w:rFonts w:ascii="宋体" w:hAnsi="宋体" w:hint="eastAsia"/>
                <w:kern w:val="0"/>
                <w:sz w:val="22"/>
              </w:rPr>
              <w:t>部门文员、助理、值班室、等同级别人员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445A18" w:rsidRDefault="00445A18">
            <w:pPr>
              <w:widowControl/>
              <w:jc w:val="center"/>
              <w:rPr>
                <w:rFonts w:ascii="宋体" w:hAnsi="宋体"/>
                <w:kern w:val="0"/>
                <w:sz w:val="22"/>
              </w:rPr>
            </w:pPr>
            <w:r>
              <w:rPr>
                <w:rFonts w:ascii="宋体" w:hAnsi="宋体" w:hint="eastAsia"/>
                <w:kern w:val="0"/>
                <w:sz w:val="22"/>
              </w:rPr>
              <w:t>50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445A18" w:rsidRDefault="00445A18">
            <w:pPr>
              <w:widowControl/>
              <w:jc w:val="center"/>
              <w:rPr>
                <w:rFonts w:ascii="宋体" w:hAnsi="宋体"/>
                <w:kern w:val="0"/>
                <w:sz w:val="22"/>
              </w:rPr>
            </w:pPr>
            <w:r>
              <w:rPr>
                <w:rFonts w:ascii="宋体" w:hAnsi="宋体" w:hint="eastAsia"/>
                <w:kern w:val="0"/>
                <w:sz w:val="22"/>
              </w:rPr>
              <w:t>20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445A18" w:rsidRDefault="00445A18">
            <w:pPr>
              <w:widowControl/>
              <w:jc w:val="center"/>
              <w:rPr>
                <w:rFonts w:ascii="宋体" w:hAnsi="宋体"/>
                <w:kern w:val="0"/>
                <w:sz w:val="22"/>
              </w:rPr>
            </w:pPr>
            <w:r>
              <w:rPr>
                <w:rFonts w:ascii="宋体" w:hAnsi="宋体" w:hint="eastAsia"/>
                <w:kern w:val="0"/>
                <w:sz w:val="22"/>
              </w:rPr>
              <w:t>10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:rsidR="00445A18" w:rsidRDefault="00445A18">
            <w:pPr>
              <w:widowControl/>
              <w:jc w:val="center"/>
              <w:rPr>
                <w:rFonts w:ascii="宋体" w:hAnsi="宋体"/>
                <w:kern w:val="0"/>
                <w:sz w:val="22"/>
              </w:rPr>
            </w:pPr>
            <w:r>
              <w:rPr>
                <w:rFonts w:ascii="宋体" w:hAnsi="宋体" w:hint="eastAsia"/>
                <w:kern w:val="0"/>
                <w:sz w:val="22"/>
              </w:rPr>
              <w:t xml:space="preserve">　</w:t>
            </w:r>
          </w:p>
        </w:tc>
      </w:tr>
    </w:tbl>
    <w:p w:rsidR="00445A18" w:rsidRDefault="00445A18" w:rsidP="00445A18">
      <w:pPr>
        <w:spacing w:line="400" w:lineRule="exact"/>
        <w:ind w:leftChars="400" w:left="945" w:hangingChars="50" w:hanging="105"/>
        <w:rPr>
          <w:rFonts w:eastAsia="Times New Roman"/>
        </w:rPr>
      </w:pPr>
      <w:r>
        <w:rPr>
          <w:rFonts w:hint="eastAsia"/>
        </w:rPr>
        <w:t>备注：</w:t>
      </w:r>
    </w:p>
    <w:p w:rsidR="00445A18" w:rsidRDefault="00445A18" w:rsidP="00445A18">
      <w:pPr>
        <w:pStyle w:val="ListParagraph"/>
        <w:numPr>
          <w:ilvl w:val="0"/>
          <w:numId w:val="1"/>
        </w:numPr>
        <w:spacing w:line="400" w:lineRule="exact"/>
        <w:ind w:firstLineChars="0"/>
        <w:rPr>
          <w:rFonts w:eastAsia="Times New Roman"/>
          <w:sz w:val="22"/>
        </w:rPr>
      </w:pPr>
      <w:r>
        <w:rPr>
          <w:rFonts w:hint="eastAsia"/>
          <w:sz w:val="22"/>
        </w:rPr>
        <w:t>外勤岗：因工作特性，需长期对外联系业务；如采购、销售、市场等。</w:t>
      </w:r>
    </w:p>
    <w:p w:rsidR="00445A18" w:rsidRDefault="00445A18" w:rsidP="00445A18">
      <w:pPr>
        <w:pStyle w:val="ListParagraph"/>
        <w:numPr>
          <w:ilvl w:val="0"/>
          <w:numId w:val="1"/>
        </w:numPr>
        <w:spacing w:line="400" w:lineRule="exact"/>
        <w:ind w:firstLineChars="0"/>
        <w:rPr>
          <w:rFonts w:eastAsia="Times New Roman"/>
          <w:sz w:val="22"/>
        </w:rPr>
      </w:pPr>
      <w:r>
        <w:rPr>
          <w:rFonts w:hint="eastAsia"/>
          <w:sz w:val="22"/>
        </w:rPr>
        <w:t>复合岗：因工作特性，部分需对外联系，如行政、财务等岗位。</w:t>
      </w:r>
    </w:p>
    <w:p w:rsidR="00445A18" w:rsidRDefault="00445A18" w:rsidP="00445A18">
      <w:pPr>
        <w:pStyle w:val="ListParagraph"/>
        <w:numPr>
          <w:ilvl w:val="0"/>
          <w:numId w:val="1"/>
        </w:numPr>
        <w:spacing w:line="400" w:lineRule="exact"/>
        <w:ind w:firstLineChars="0"/>
        <w:rPr>
          <w:rFonts w:eastAsia="Times New Roman"/>
          <w:sz w:val="22"/>
        </w:rPr>
      </w:pPr>
      <w:r>
        <w:rPr>
          <w:rFonts w:hint="eastAsia"/>
          <w:sz w:val="22"/>
        </w:rPr>
        <w:t>内勤岗：基本无须对外联系，只做联系内部员工等。</w:t>
      </w:r>
    </w:p>
    <w:p w:rsidR="00445A18" w:rsidRDefault="00445A18" w:rsidP="00445A18">
      <w:pPr>
        <w:pStyle w:val="ListParagraph"/>
        <w:numPr>
          <w:ilvl w:val="0"/>
          <w:numId w:val="1"/>
        </w:numPr>
        <w:spacing w:line="400" w:lineRule="exact"/>
        <w:ind w:firstLineChars="0"/>
        <w:rPr>
          <w:rFonts w:eastAsia="Times New Roman"/>
          <w:sz w:val="22"/>
        </w:rPr>
      </w:pPr>
      <w:r>
        <w:rPr>
          <w:rFonts w:hint="eastAsia"/>
          <w:sz w:val="22"/>
        </w:rPr>
        <w:t>以上界定由各部门经理提供该部门人员岗位性质及标准，报备给行政部；行政部将依审批</w:t>
      </w:r>
      <w:proofErr w:type="gramStart"/>
      <w:r>
        <w:rPr>
          <w:rFonts w:hint="eastAsia"/>
          <w:sz w:val="22"/>
        </w:rPr>
        <w:t>后标准</w:t>
      </w:r>
      <w:proofErr w:type="gramEnd"/>
      <w:r>
        <w:rPr>
          <w:rFonts w:hint="eastAsia"/>
          <w:sz w:val="22"/>
        </w:rPr>
        <w:t>进行设定，并</w:t>
      </w:r>
      <w:proofErr w:type="gramStart"/>
      <w:r>
        <w:rPr>
          <w:rFonts w:hint="eastAsia"/>
          <w:sz w:val="22"/>
        </w:rPr>
        <w:t>做为</w:t>
      </w:r>
      <w:proofErr w:type="gramEnd"/>
      <w:r>
        <w:rPr>
          <w:rFonts w:hint="eastAsia"/>
          <w:sz w:val="22"/>
        </w:rPr>
        <w:t>此制度附件，仍具有效力。</w:t>
      </w:r>
    </w:p>
    <w:p w:rsidR="00445A18" w:rsidRDefault="00445A18" w:rsidP="00445A18">
      <w:pPr>
        <w:pStyle w:val="ListParagraph"/>
        <w:numPr>
          <w:ilvl w:val="0"/>
          <w:numId w:val="1"/>
        </w:numPr>
        <w:spacing w:line="400" w:lineRule="exact"/>
        <w:ind w:firstLineChars="0"/>
        <w:rPr>
          <w:rFonts w:eastAsia="Times New Roman"/>
          <w:sz w:val="22"/>
        </w:rPr>
      </w:pPr>
      <w:r>
        <w:rPr>
          <w:rFonts w:hint="eastAsia"/>
          <w:sz w:val="22"/>
        </w:rPr>
        <w:t>若因工作特性，以上标准无法满足于现状的部门，可由各部门经理另行提出核定标准并提报给总经理另行批准。</w:t>
      </w:r>
    </w:p>
    <w:p w:rsidR="00445A18" w:rsidRDefault="00445A18" w:rsidP="00445A18">
      <w:pPr>
        <w:pStyle w:val="ListParagraph"/>
        <w:numPr>
          <w:ilvl w:val="0"/>
          <w:numId w:val="1"/>
        </w:numPr>
        <w:spacing w:line="400" w:lineRule="exact"/>
        <w:ind w:firstLineChars="0"/>
        <w:rPr>
          <w:rFonts w:eastAsia="Times New Roman"/>
          <w:sz w:val="22"/>
        </w:rPr>
      </w:pPr>
      <w:r>
        <w:rPr>
          <w:rFonts w:hint="eastAsia"/>
          <w:sz w:val="22"/>
        </w:rPr>
        <w:t>具体明细表提交行政每月校对，其他部门均按以上标准执行。</w:t>
      </w:r>
    </w:p>
    <w:p w:rsidR="00445A18" w:rsidRDefault="00445A18" w:rsidP="00445A18">
      <w:pPr>
        <w:rPr>
          <w:rFonts w:eastAsia="Times New Roman"/>
        </w:rPr>
      </w:pPr>
    </w:p>
    <w:p w:rsidR="00445A18" w:rsidRDefault="00445A18" w:rsidP="00445A18">
      <w:pPr>
        <w:ind w:firstLineChars="201" w:firstLine="643"/>
        <w:rPr>
          <w:rFonts w:ascii="仿宋_GB2312" w:eastAsia="仿宋_GB2312"/>
          <w:sz w:val="32"/>
          <w:szCs w:val="32"/>
        </w:rPr>
      </w:pPr>
    </w:p>
    <w:p w:rsidR="00504AD7" w:rsidRPr="00445A18" w:rsidRDefault="00504AD7">
      <w:bookmarkStart w:id="0" w:name="_GoBack"/>
      <w:bookmarkEnd w:id="0"/>
    </w:p>
    <w:sectPr w:rsidR="00504AD7" w:rsidRPr="00445A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multilevel"/>
    <w:tmpl w:val="0000000A"/>
    <w:lvl w:ilvl="0">
      <w:start w:val="1"/>
      <w:numFmt w:val="decimal"/>
      <w:lvlText w:val="（%1）"/>
      <w:lvlJc w:val="left"/>
      <w:pPr>
        <w:ind w:left="1515" w:hanging="360"/>
      </w:pPr>
      <w:rPr>
        <w:rFonts w:ascii="Calibri" w:eastAsia="宋体" w:hAnsi="Calibri" w:cs="Times New Roman" w:hint="default"/>
        <w:u w:color="000000"/>
      </w:rPr>
    </w:lvl>
    <w:lvl w:ilvl="1">
      <w:start w:val="1"/>
      <w:numFmt w:val="lowerLetter"/>
      <w:lvlText w:val="%2)"/>
      <w:lvlJc w:val="left"/>
      <w:pPr>
        <w:ind w:left="2575" w:hanging="420"/>
      </w:pPr>
      <w:rPr>
        <w:rFonts w:ascii="Times New Roman" w:hAnsi="Times New Roman" w:cs="Times New Roman" w:hint="default"/>
        <w:u w:color="000000"/>
      </w:rPr>
    </w:lvl>
    <w:lvl w:ilvl="2">
      <w:start w:val="1"/>
      <w:numFmt w:val="lowerRoman"/>
      <w:lvlText w:val="%3."/>
      <w:lvlJc w:val="right"/>
      <w:pPr>
        <w:ind w:left="2995" w:hanging="420"/>
      </w:pPr>
      <w:rPr>
        <w:rFonts w:ascii="Times New Roman" w:hAnsi="Times New Roman" w:cs="Times New Roman" w:hint="default"/>
        <w:u w:color="000000"/>
      </w:rPr>
    </w:lvl>
    <w:lvl w:ilvl="3">
      <w:start w:val="1"/>
      <w:numFmt w:val="decimal"/>
      <w:lvlText w:val="%4."/>
      <w:lvlJc w:val="left"/>
      <w:pPr>
        <w:ind w:left="3415" w:hanging="420"/>
      </w:pPr>
      <w:rPr>
        <w:rFonts w:ascii="Times New Roman" w:hAnsi="Times New Roman" w:cs="Times New Roman" w:hint="default"/>
        <w:u w:color="000000"/>
      </w:rPr>
    </w:lvl>
    <w:lvl w:ilvl="4">
      <w:start w:val="1"/>
      <w:numFmt w:val="lowerLetter"/>
      <w:lvlText w:val="%5)"/>
      <w:lvlJc w:val="left"/>
      <w:pPr>
        <w:ind w:left="3835" w:hanging="420"/>
      </w:pPr>
      <w:rPr>
        <w:rFonts w:ascii="Times New Roman" w:hAnsi="Times New Roman" w:cs="Times New Roman" w:hint="default"/>
        <w:u w:color="000000"/>
      </w:rPr>
    </w:lvl>
    <w:lvl w:ilvl="5">
      <w:start w:val="1"/>
      <w:numFmt w:val="lowerRoman"/>
      <w:lvlText w:val="%6."/>
      <w:lvlJc w:val="right"/>
      <w:pPr>
        <w:ind w:left="4255" w:hanging="420"/>
      </w:pPr>
      <w:rPr>
        <w:rFonts w:ascii="Times New Roman" w:hAnsi="Times New Roman" w:cs="Times New Roman" w:hint="default"/>
        <w:u w:color="000000"/>
      </w:rPr>
    </w:lvl>
    <w:lvl w:ilvl="6">
      <w:start w:val="1"/>
      <w:numFmt w:val="decimal"/>
      <w:lvlText w:val="%7."/>
      <w:lvlJc w:val="left"/>
      <w:pPr>
        <w:ind w:left="4675" w:hanging="420"/>
      </w:pPr>
      <w:rPr>
        <w:rFonts w:ascii="Times New Roman" w:hAnsi="Times New Roman" w:cs="Times New Roman" w:hint="default"/>
        <w:u w:color="000000"/>
      </w:rPr>
    </w:lvl>
    <w:lvl w:ilvl="7">
      <w:start w:val="1"/>
      <w:numFmt w:val="lowerLetter"/>
      <w:lvlText w:val="%8)"/>
      <w:lvlJc w:val="left"/>
      <w:pPr>
        <w:ind w:left="5095" w:hanging="420"/>
      </w:pPr>
      <w:rPr>
        <w:rFonts w:ascii="Times New Roman" w:hAnsi="Times New Roman" w:cs="Times New Roman" w:hint="default"/>
        <w:u w:color="000000"/>
      </w:rPr>
    </w:lvl>
    <w:lvl w:ilvl="8">
      <w:start w:val="1"/>
      <w:numFmt w:val="lowerRoman"/>
      <w:lvlText w:val="%9."/>
      <w:lvlJc w:val="right"/>
      <w:pPr>
        <w:ind w:left="5515" w:hanging="420"/>
      </w:pPr>
      <w:rPr>
        <w:rFonts w:ascii="Times New Roman" w:hAnsi="Times New Roman" w:cs="Times New Roman" w:hint="default"/>
        <w:u w:color="000000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2DA"/>
    <w:rsid w:val="00445A18"/>
    <w:rsid w:val="00504AD7"/>
    <w:rsid w:val="0073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5A1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">
    <w:name w:val="List Paragraph"/>
    <w:basedOn w:val="a"/>
    <w:rsid w:val="00445A1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5A1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">
    <w:name w:val="List Paragraph"/>
    <w:basedOn w:val="a"/>
    <w:rsid w:val="00445A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8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2014-10-22T03:31:00Z</dcterms:created>
  <dcterms:modified xsi:type="dcterms:W3CDTF">2014-10-22T03:32:00Z</dcterms:modified>
</cp:coreProperties>
</file>