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49" w:rsidRDefault="00F66A49" w:rsidP="0038571E">
      <w:pPr>
        <w:pStyle w:val="Ttulo"/>
        <w:jc w:val="center"/>
      </w:pPr>
      <w:r>
        <w:t>Niños con TDAH, ¿sólo traviesos?</w:t>
      </w:r>
    </w:p>
    <w:p w:rsidR="00F66A49" w:rsidRDefault="00F66A49" w:rsidP="0038571E">
      <w:pPr>
        <w:pStyle w:val="Ttulo3"/>
        <w:jc w:val="center"/>
      </w:pPr>
      <w:r>
        <w:t>Revista Economía de la salud</w:t>
      </w:r>
    </w:p>
    <w:p w:rsidR="0038571E" w:rsidRDefault="00AB55AC" w:rsidP="0038571E">
      <w:pPr>
        <w:pStyle w:val="Ttulo3"/>
        <w:jc w:val="center"/>
      </w:pPr>
      <w:hyperlink r:id="rId9" w:history="1">
        <w:r w:rsidR="0038571E" w:rsidRPr="007F22B5">
          <w:rPr>
            <w:rStyle w:val="Hipervnculo"/>
          </w:rPr>
          <w:t>http://www.economiadelasalud.com/Ediciones/42/08_pdf/Hiperactividad.pdf</w:t>
        </w:r>
      </w:hyperlink>
    </w:p>
    <w:p w:rsidR="002D6F2B" w:rsidRDefault="002D6F2B" w:rsidP="002D6F2B">
      <w:pPr>
        <w:pStyle w:val="Ttulo1"/>
        <w:jc w:val="both"/>
      </w:pPr>
      <w:r>
        <w:t>Palabras claves .</w:t>
      </w:r>
    </w:p>
    <w:p w:rsidR="002D6F2B" w:rsidRDefault="002D6F2B" w:rsidP="002D6F2B">
      <w:r>
        <w:t>TDAH, Infancia, Tratamiento del TDAH, Subtipos del TDAH, Estadísticas del TDAH, Acompañamiento del padre</w:t>
      </w:r>
    </w:p>
    <w:p w:rsidR="00F66A49" w:rsidRDefault="00F66A49" w:rsidP="0038571E">
      <w:pPr>
        <w:pStyle w:val="Ttulo1"/>
      </w:pPr>
      <w:r w:rsidRPr="00F66A49">
        <w:t>Ideas</w:t>
      </w:r>
      <w:r>
        <w:t xml:space="preserve"> relevantes del artículo.</w:t>
      </w:r>
    </w:p>
    <w:p w:rsidR="00F66A49" w:rsidRDefault="00C842E2" w:rsidP="005F3145">
      <w:pPr>
        <w:pStyle w:val="Prrafodelista"/>
        <w:numPr>
          <w:ilvl w:val="0"/>
          <w:numId w:val="2"/>
        </w:numPr>
        <w:jc w:val="both"/>
      </w:pPr>
      <w:r>
        <w:t xml:space="preserve">Entre el </w:t>
      </w:r>
      <w:r w:rsidR="00F66A49" w:rsidRPr="00F66A49">
        <w:t xml:space="preserve">3% y </w:t>
      </w:r>
      <w:r w:rsidR="005D7710" w:rsidRPr="00F66A49">
        <w:t>el 10% de la población</w:t>
      </w:r>
      <w:r w:rsidR="005D7710">
        <w:t xml:space="preserve"> </w:t>
      </w:r>
      <w:r w:rsidR="005D7710" w:rsidRPr="00F66A49">
        <w:t>infantil</w:t>
      </w:r>
      <w:r w:rsidR="005D7710">
        <w:t xml:space="preserve"> (española)</w:t>
      </w:r>
      <w:r w:rsidR="005D7710" w:rsidRPr="00F66A49">
        <w:t xml:space="preserve"> afectado</w:t>
      </w:r>
      <w:r w:rsidR="005D7710">
        <w:t>s</w:t>
      </w:r>
      <w:r w:rsidR="00F66A49" w:rsidRPr="00F66A49">
        <w:t xml:space="preserve"> por el trastorno por</w:t>
      </w:r>
      <w:r w:rsidR="00F66A49">
        <w:t xml:space="preserve"> </w:t>
      </w:r>
      <w:r w:rsidR="00F66A49" w:rsidRPr="00F66A49">
        <w:t>déficit de atención e</w:t>
      </w:r>
      <w:r w:rsidR="00F66A49">
        <w:t xml:space="preserve"> hiperactividad</w:t>
      </w:r>
      <w:r w:rsidR="00F66A49" w:rsidRPr="00F66A49">
        <w:t xml:space="preserve"> (TDAH).</w:t>
      </w:r>
    </w:p>
    <w:p w:rsidR="00F66A49" w:rsidRDefault="00F66A49" w:rsidP="005F3145">
      <w:pPr>
        <w:pStyle w:val="Prrafodelista"/>
        <w:numPr>
          <w:ilvl w:val="0"/>
          <w:numId w:val="2"/>
        </w:numPr>
        <w:jc w:val="both"/>
      </w:pPr>
      <w:r>
        <w:t xml:space="preserve">Según la Academia Americana de Psiquiatría afirman los expertos que en la etapa </w:t>
      </w:r>
      <w:r w:rsidR="005D7710">
        <w:t xml:space="preserve"> preescolar no puede emitirse ningún diagnóstico  acerca de la enfermedad (TDAH), pero se puede poner en conocimiento al pediatra y a los profesores que existe el problema y es conveniente tratarlo.</w:t>
      </w:r>
    </w:p>
    <w:p w:rsidR="005D7710" w:rsidRPr="00C738F5" w:rsidRDefault="0057064F" w:rsidP="005F31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19"/>
          <w:szCs w:val="19"/>
        </w:rPr>
      </w:pPr>
      <w:r>
        <w:t xml:space="preserve">Los padres de los niños que tienen TDAH tienen dificultad para conseguir los recursos  necesarios </w:t>
      </w:r>
      <w:r w:rsidR="00C738F5">
        <w:t>para implantar el tratamiento, además de una falta de disposición de algunos colegios para realizar adaptaciones curriculares que les permite a los niños satisfacer las necesidades educativas que tienen.</w:t>
      </w:r>
    </w:p>
    <w:p w:rsidR="00C738F5" w:rsidRPr="00C738F5" w:rsidRDefault="00C738F5" w:rsidP="005F31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19"/>
          <w:szCs w:val="19"/>
        </w:rPr>
      </w:pPr>
      <w:r>
        <w:t>Los padres gastan aproximadamente más de 300 euros al año en medicamentos, 3.000 euros en terapia cognitiva y 1.500 en consultas psicológicas.</w:t>
      </w:r>
    </w:p>
    <w:p w:rsidR="00C738F5" w:rsidRPr="001D2717" w:rsidRDefault="00C738F5" w:rsidP="005F31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19"/>
          <w:szCs w:val="19"/>
        </w:rPr>
      </w:pPr>
      <w:r>
        <w:t>Las comunidades no se encuentran adecuadas para tratar los niños con esta deficiencia</w:t>
      </w:r>
      <w:r w:rsidR="001D2717">
        <w:t>, no se poseen los elementos sanitarios que requieren este tipo de personas, ni el nivel académico necesario para tratarlos.</w:t>
      </w:r>
    </w:p>
    <w:p w:rsidR="001D2717" w:rsidRPr="001D2717" w:rsidRDefault="001D2717" w:rsidP="005F31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19"/>
          <w:szCs w:val="19"/>
        </w:rPr>
      </w:pPr>
      <w:r>
        <w:t>El TDAH es un trastorno psicológico que aparece en edades inferiores a los 7 años de edad y se caracteriza por el déficit de atención, la conducta hiperactiva y la impulsividad</w:t>
      </w:r>
    </w:p>
    <w:p w:rsidR="001D2717" w:rsidRPr="001D2717" w:rsidRDefault="001D2717" w:rsidP="005F31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19"/>
          <w:szCs w:val="19"/>
        </w:rPr>
      </w:pPr>
      <w:r>
        <w:t>Existe dos subtipos de la enfermedad, el primero predomina el déficit de atención  y el segundo es el combinado.</w:t>
      </w:r>
    </w:p>
    <w:p w:rsidR="001D2717" w:rsidRPr="001D2717" w:rsidRDefault="001D2717" w:rsidP="005F31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19"/>
          <w:szCs w:val="19"/>
        </w:rPr>
      </w:pPr>
      <w:r>
        <w:t>Cerca del 70% de los niños tiene algún antecedente en primer o segundo grado de hiperactividad mostrando que el problema puede llegar a ser genético, afirma el Neurop</w:t>
      </w:r>
      <w:r w:rsidR="005F3145">
        <w:t>edí</w:t>
      </w:r>
      <w:r>
        <w:t>atra Julián Vaquerizo que trabaja en el Hospital Materno de Bajadoz.</w:t>
      </w:r>
    </w:p>
    <w:p w:rsidR="001D2717" w:rsidRPr="005F3145" w:rsidRDefault="001D2717" w:rsidP="005F31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19"/>
          <w:szCs w:val="19"/>
        </w:rPr>
      </w:pPr>
      <w:r>
        <w:t>La dificultad de diagnosticar correctamente el TDAH se debe a que los síntomas suelen</w:t>
      </w:r>
      <w:r w:rsidR="005F3145">
        <w:t xml:space="preserve"> crear una “nube de humo” que confunde a los pediatras que tratan a los niños en sus primeros años, confundiendo la enfermedad con dislexia(uno de los síntomas mas frecuentes).</w:t>
      </w:r>
    </w:p>
    <w:p w:rsidR="005F3145" w:rsidRPr="005F3145" w:rsidRDefault="005F3145" w:rsidP="005F31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19"/>
          <w:szCs w:val="19"/>
        </w:rPr>
      </w:pPr>
      <w:r>
        <w:t>La edad más común donde los especialistas presentan sus diagnósticos de la enfermedad es a los 8 años.</w:t>
      </w:r>
    </w:p>
    <w:p w:rsidR="005F3145" w:rsidRPr="005F3145" w:rsidRDefault="005F3145" w:rsidP="005F31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19"/>
          <w:szCs w:val="19"/>
        </w:rPr>
      </w:pPr>
      <w:r>
        <w:t>Lo más común es confundir a un niño que tiene TDAH con un niño que presenta problemas de socialización. Es por esto que la “última palabra” la tiene el especialista.</w:t>
      </w:r>
    </w:p>
    <w:p w:rsidR="00F60CB5" w:rsidRPr="00F60CB5" w:rsidRDefault="005F3145" w:rsidP="00F60CB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19"/>
          <w:szCs w:val="19"/>
        </w:rPr>
      </w:pPr>
      <w:r>
        <w:t>El tratamiento de la enfermedad con fármacos corresponde sólo uno de los pilares</w:t>
      </w:r>
      <w:r w:rsidR="00F60CB5">
        <w:t xml:space="preserve">, así que los padres no pueden esperar que el niño que posee este déficit (TDAH) se cure por si solo, </w:t>
      </w:r>
      <w:r w:rsidR="00F60CB5">
        <w:lastRenderedPageBreak/>
        <w:t>sino que es necesario un acompañamiento con rehabilitación cognitiva para tratar la atención y la memoria de trabajo.</w:t>
      </w:r>
    </w:p>
    <w:p w:rsidR="00F60CB5" w:rsidRPr="00F60CB5" w:rsidRDefault="00F60CB5" w:rsidP="00F60CB5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19"/>
          <w:szCs w:val="19"/>
        </w:rPr>
      </w:pPr>
    </w:p>
    <w:p w:rsidR="001D2717" w:rsidRPr="00F60CB5" w:rsidRDefault="00F60CB5" w:rsidP="00F60CB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19"/>
          <w:szCs w:val="19"/>
        </w:rPr>
      </w:pPr>
      <w:r w:rsidRPr="00F60CB5">
        <w:t>“De nada sirve</w:t>
      </w:r>
      <w:r>
        <w:t xml:space="preserve"> </w:t>
      </w:r>
      <w:r w:rsidRPr="00F60CB5">
        <w:t>medicar a un niño si no se le ofrece</w:t>
      </w:r>
      <w:r>
        <w:t xml:space="preserve"> </w:t>
      </w:r>
      <w:r w:rsidRPr="00F60CB5">
        <w:t xml:space="preserve">luego una rehabilitación </w:t>
      </w:r>
      <w:r>
        <w:t xml:space="preserve">neurocognitiva </w:t>
      </w:r>
      <w:r w:rsidRPr="00F60CB5">
        <w:t>y estrategias de modificación de la</w:t>
      </w:r>
      <w:r>
        <w:t xml:space="preserve"> </w:t>
      </w:r>
      <w:r w:rsidRPr="00F60CB5">
        <w:t>conducta y autocontrol”</w:t>
      </w:r>
    </w:p>
    <w:sectPr w:rsidR="001D2717" w:rsidRPr="00F60CB5" w:rsidSect="00466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6D4" w:rsidRDefault="00F656D4" w:rsidP="00F66A49">
      <w:pPr>
        <w:spacing w:after="0" w:line="240" w:lineRule="auto"/>
      </w:pPr>
      <w:r>
        <w:separator/>
      </w:r>
    </w:p>
  </w:endnote>
  <w:endnote w:type="continuationSeparator" w:id="1">
    <w:p w:rsidR="00F656D4" w:rsidRDefault="00F656D4" w:rsidP="00F6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6D4" w:rsidRDefault="00F656D4" w:rsidP="00F66A49">
      <w:pPr>
        <w:spacing w:after="0" w:line="240" w:lineRule="auto"/>
      </w:pPr>
      <w:r>
        <w:separator/>
      </w:r>
    </w:p>
  </w:footnote>
  <w:footnote w:type="continuationSeparator" w:id="1">
    <w:p w:rsidR="00F656D4" w:rsidRDefault="00F656D4" w:rsidP="00F66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E3DE1"/>
    <w:multiLevelType w:val="hybridMultilevel"/>
    <w:tmpl w:val="511E50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66458"/>
    <w:multiLevelType w:val="hybridMultilevel"/>
    <w:tmpl w:val="BD0624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E46CB"/>
    <w:multiLevelType w:val="hybridMultilevel"/>
    <w:tmpl w:val="A2EEF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BE1"/>
    <w:rsid w:val="00061409"/>
    <w:rsid w:val="000E4417"/>
    <w:rsid w:val="00133BE1"/>
    <w:rsid w:val="001D2717"/>
    <w:rsid w:val="002D6F2B"/>
    <w:rsid w:val="0038571E"/>
    <w:rsid w:val="003E4AAE"/>
    <w:rsid w:val="00466236"/>
    <w:rsid w:val="004E4DF5"/>
    <w:rsid w:val="0057064F"/>
    <w:rsid w:val="005D7710"/>
    <w:rsid w:val="005F3145"/>
    <w:rsid w:val="007E1AF9"/>
    <w:rsid w:val="009736FD"/>
    <w:rsid w:val="00A4231B"/>
    <w:rsid w:val="00AB55AC"/>
    <w:rsid w:val="00C738F5"/>
    <w:rsid w:val="00C842E2"/>
    <w:rsid w:val="00CF759E"/>
    <w:rsid w:val="00EA123E"/>
    <w:rsid w:val="00F60CB5"/>
    <w:rsid w:val="00F656D4"/>
    <w:rsid w:val="00F6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36"/>
  </w:style>
  <w:style w:type="paragraph" w:styleId="Ttulo1">
    <w:name w:val="heading 1"/>
    <w:basedOn w:val="Normal"/>
    <w:next w:val="Normal"/>
    <w:link w:val="Ttulo1Car"/>
    <w:uiPriority w:val="9"/>
    <w:qFormat/>
    <w:rsid w:val="00385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49"/>
  </w:style>
  <w:style w:type="paragraph" w:styleId="Piedepgina">
    <w:name w:val="footer"/>
    <w:basedOn w:val="Normal"/>
    <w:link w:val="PiedepginaCar"/>
    <w:uiPriority w:val="99"/>
    <w:semiHidden/>
    <w:unhideWhenUsed/>
    <w:rsid w:val="00F66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66A49"/>
  </w:style>
  <w:style w:type="paragraph" w:styleId="Textodeglobo">
    <w:name w:val="Balloon Text"/>
    <w:basedOn w:val="Normal"/>
    <w:link w:val="TextodegloboCar"/>
    <w:uiPriority w:val="99"/>
    <w:semiHidden/>
    <w:unhideWhenUsed/>
    <w:rsid w:val="00F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A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6A4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5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5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57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8571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85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5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economiadelasalud.com/Ediciones/42/08_pdf/Hiperactividad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C629C-0B55-47BA-ADC5-8BD924CB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4</cp:revision>
  <dcterms:created xsi:type="dcterms:W3CDTF">2009-02-01T19:02:00Z</dcterms:created>
  <dcterms:modified xsi:type="dcterms:W3CDTF">2009-02-03T02:40:00Z</dcterms:modified>
</cp:coreProperties>
</file>