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spacing w:before="0" w:after="200"/>
        <w:jc w:val="both"/>
        <w:rPr>
          <w:b/>
          <w:b/>
          <w:bCs/>
          <w:sz w:val="32"/>
          <w:szCs w:val="32"/>
        </w:rPr>
      </w:pPr>
      <w:r>
        <w:rPr>
          <w:rFonts w:ascii="CALIBRI" w:hAnsi="CALIBRI"/>
          <w:b/>
          <w:bCs/>
          <w:i w:val="false"/>
          <w:caps w:val="false"/>
          <w:smallCaps w:val="false"/>
          <w:sz w:val="32"/>
          <w:szCs w:val="32"/>
          <w:lang w:val="it-IT"/>
        </w:rPr>
        <w:t>MODELLO CONCETTUALE</w:t>
      </w:r>
    </w:p>
    <w:p>
      <w:pPr>
        <w:pStyle w:val="Corpodeltesto"/>
        <w:jc w:val="both"/>
        <w:rPr>
          <w:sz w:val="32"/>
          <w:szCs w:val="32"/>
        </w:rPr>
      </w:pPr>
      <w:r>
        <w:rPr>
          <w:rFonts w:ascii="CALIBRI" w:hAnsi="CALIBRI"/>
          <w:b/>
          <w:bCs/>
          <w:i w:val="false"/>
          <w:caps w:val="false"/>
          <w:smallCaps w:val="false"/>
          <w:sz w:val="32"/>
          <w:szCs w:val="32"/>
          <w:lang w:val="it-IT"/>
        </w:rPr>
        <w:t>Descrizione</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Si distinguono due fasi fondamentali nel sistema analizzato:</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1) Fase di Matching</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2) Fase di  Trapianto</w:t>
      </w:r>
    </w:p>
    <w:p>
      <w:pPr>
        <w:pStyle w:val="Corpodeltesto"/>
        <w:jc w:val="both"/>
        <w:rPr>
          <w:b/>
          <w:b/>
          <w:bCs/>
        </w:rPr>
      </w:pPr>
      <w:r>
        <w:rPr>
          <w:b/>
          <w:bCs/>
          <w:i w:val="false"/>
          <w:caps w:val="false"/>
          <w:smallCaps w:val="false"/>
          <w:sz w:val="28"/>
          <w:szCs w:val="28"/>
          <w:lang w:val="it-IT"/>
        </w:rPr>
        <w:t>Fase 1:</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All’interno della fase 1, è possibile distinguere a sua volta due blocchi fondamentali:</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a. Il blocco delle liste di attesa per l’assegnazione ad un organo</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b. Il blocco della banca degli organi che sono disponibili per l’assegnamento.</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 xml:space="preserve">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oppure perché la loro condizione di salute peggiora a tal punto da non poter sostenere il trapianto. </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 xml:space="preserve">Il matching vero e proprio tra gli organi nel blocco b. e i pazienti nel blocco a. avviene a livello di 4 serventi, uno per ogni gruppo sanguigno. Il servizio è istantaneo, ossia nel momento in cui per un certo paziente che appartiene ad un certo gruppo sanguigno se (secondo la politica di assegnamento) è presente nella banca un organo compatibile allora inizia e finisce il servizio automaticamente e si passa alla fase successiva. </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Gli organi vengono assegnati ai pazienti secondo due politiche fondamentali:</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1) ABO-compatible: un paziente con gruppo sanguigno X, può ricevere un organo che appartenga ad un gruppo sanguigno Y che sia compatibile con X.</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2) ABO-identical: un paziente con gruppo sanguigno X, può ricevere solo organi che appartengano allo stesso gruppo sanguigno X.</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lang w:val="it-IT"/>
        </w:rPr>
        <w:drawing>
          <wp:anchor behindDoc="0" distT="0" distB="0" distL="0" distR="0" simplePos="0" locked="0" layoutInCell="0" allowOverlap="1" relativeHeight="2">
            <wp:simplePos x="0" y="0"/>
            <wp:positionH relativeFrom="column">
              <wp:posOffset>-38100</wp:posOffset>
            </wp:positionH>
            <wp:positionV relativeFrom="paragraph">
              <wp:posOffset>102235</wp:posOffset>
            </wp:positionV>
            <wp:extent cx="2543175" cy="14954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543175" cy="1495425"/>
                    </a:xfrm>
                    <a:prstGeom prst="rect">
                      <a:avLst/>
                    </a:prstGeom>
                  </pic:spPr>
                </pic:pic>
              </a:graphicData>
            </a:graphic>
          </wp:anchor>
        </w:drawing>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lang w:val="it-IT"/>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b w:val="false"/>
          <w:b w:val="false"/>
          <w:bCs w:val="false"/>
          <w:sz w:val="28"/>
          <w:szCs w:val="28"/>
          <w:highlight w:val="none"/>
          <w:shd w:fill="FFFF00" w:val="clear"/>
        </w:rPr>
      </w:pPr>
      <w:r>
        <w:rPr>
          <w:b w:val="false"/>
          <w:bCs w:val="false"/>
          <w:sz w:val="28"/>
          <w:szCs w:val="28"/>
          <w:shd w:fill="FFFF00" w:val="clear"/>
        </w:rPr>
        <w:t>(forse va cambiato il modo in cui descriviamo il modello – forse da cambiare anche sul diagramma – in modo da raccontarlo nello stesso modo dell’articolo, anche se secondo me non necessario)</w:t>
      </w:r>
    </w:p>
    <w:p>
      <w:pPr>
        <w:pStyle w:val="Corpodeltesto"/>
        <w:jc w:val="both"/>
        <w:rPr>
          <w:b/>
          <w:b/>
          <w:bCs/>
          <w:sz w:val="28"/>
          <w:szCs w:val="28"/>
        </w:rPr>
      </w:pPr>
      <w:r>
        <w:rPr>
          <w:b/>
          <w:bCs/>
          <w:sz w:val="28"/>
          <w:szCs w:val="28"/>
        </w:rPr>
        <w:t>Fase 2:</w:t>
      </w:r>
    </w:p>
    <w:p>
      <w:pPr>
        <w:pStyle w:val="Corpodeltesto"/>
        <w:jc w:val="both"/>
        <w:rPr>
          <w:b w:val="false"/>
          <w:b w:val="false"/>
          <w:bCs w:val="false"/>
          <w:sz w:val="28"/>
          <w:szCs w:val="28"/>
        </w:rPr>
      </w:pPr>
      <w:r>
        <w:rPr>
          <w:b w:val="false"/>
          <w:bCs w:val="false"/>
          <w:sz w:val="28"/>
          <w:szCs w:val="28"/>
        </w:rPr>
        <w:t>La fase di trapianto, in una prima rappresentazione semplificata del sistema, è rappresentata come un delay center (anche chiamato infinite server) (M|M|</w:t>
      </w:r>
      <w:r>
        <w:rPr>
          <w:rFonts w:eastAsia="Liberation Serif" w:cs="Liberation Serif" w:ascii="Liberation Serif" w:hAnsi="Liberation Serif"/>
          <w:b w:val="false"/>
          <w:bCs w:val="false"/>
          <w:sz w:val="28"/>
          <w:szCs w:val="28"/>
        </w:rPr>
        <w:t>∞</w:t>
      </w:r>
      <w:r>
        <w:rPr>
          <w:rFonts w:eastAsia="Calibri" w:cs="DejaVu Sans"/>
          <w:b w:val="false"/>
          <w:bCs w:val="false"/>
          <w:sz w:val="28"/>
          <w:szCs w:val="28"/>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b w:val="false"/>
          <w:b w:val="false"/>
          <w:bCs w:val="false"/>
          <w:sz w:val="28"/>
          <w:szCs w:val="28"/>
        </w:rPr>
      </w:pPr>
      <w:r>
        <w:rPr>
          <w:rFonts w:eastAsia="Calibri" w:cs="DejaVu Sans"/>
          <w:b w:val="false"/>
          <w:bCs w:val="false"/>
          <w:sz w:val="28"/>
          <w:szCs w:val="28"/>
        </w:rPr>
        <w:t>1) La procedura di trapianto dell’organo è andata a buon fine senza complicazioni, allora il paziente può uscire dal sistema e il trapianto viene considerato “completato con successo”.</w:t>
      </w:r>
    </w:p>
    <w:p>
      <w:pPr>
        <w:pStyle w:val="Corpodeltesto"/>
        <w:jc w:val="both"/>
        <w:rPr>
          <w:b w:val="false"/>
          <w:b w:val="false"/>
          <w:bCs w:val="false"/>
        </w:rPr>
      </w:pPr>
      <w:r>
        <w:rPr>
          <w:rFonts w:eastAsia="Calibri" w:cs="DejaVu Sans"/>
          <w:b w:val="false"/>
          <w:bCs w:val="false"/>
          <w:sz w:val="28"/>
          <w:szCs w:val="28"/>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rFonts w:ascii="Calibri" w:hAnsi="Calibri" w:eastAsia="Calibri" w:cs="DejaVu Sans"/>
          <w:sz w:val="28"/>
          <w:szCs w:val="28"/>
        </w:rPr>
      </w:pPr>
      <w:r>
        <w:rPr>
          <w:rFonts w:eastAsia="Calibri" w:cs="DejaVu Sans"/>
          <w:sz w:val="28"/>
          <w:szCs w:val="28"/>
        </w:rPr>
      </w:r>
    </w:p>
    <w:p>
      <w:pPr>
        <w:pStyle w:val="Corpodeltesto"/>
        <w:jc w:val="both"/>
        <w:rPr>
          <w:b/>
          <w:b/>
          <w:bCs/>
          <w:sz w:val="32"/>
          <w:szCs w:val="32"/>
        </w:rPr>
      </w:pPr>
      <w:r>
        <w:rPr>
          <w:rFonts w:eastAsia="Calibri" w:cs="DejaVu Sans" w:ascii="CALIBRI" w:hAnsi="CALIBRI"/>
          <w:b/>
          <w:bCs/>
          <w:i w:val="false"/>
          <w:caps w:val="false"/>
          <w:smallCaps w:val="false"/>
          <w:sz w:val="28"/>
          <w:szCs w:val="28"/>
          <w:lang w:val="it-IT"/>
        </w:rPr>
        <w:t>Utenti</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Gli utenti sono di due tipi:</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a. Utente di tipo “paziente”</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b. Utente di tipo “organo”</w:t>
      </w:r>
    </w:p>
    <w:p>
      <w:pPr>
        <w:pStyle w:val="Corpodeltesto"/>
        <w:jc w:val="both"/>
        <w:rPr>
          <w:b w:val="false"/>
          <w:b w:val="false"/>
          <w:bCs w:val="false"/>
          <w:sz w:val="32"/>
          <w:szCs w:val="32"/>
        </w:rPr>
      </w:pPr>
      <w:r>
        <w:rPr>
          <w:b w:val="false"/>
          <w:bCs w:val="false"/>
          <w:sz w:val="32"/>
          <w:szCs w:val="32"/>
        </w:rPr>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a. I pazienti in ingresso al sistema sono identificati dalla coppia di parametri (p, g).</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Il parametro p rappresenta lo stato di salute corrente del paziente, che può essere associato ad uno dei seguenti 4 livelli di gravità:</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1) Critical:</w:t>
      </w:r>
      <w:r>
        <w:rPr>
          <w:rFonts w:eastAsia="Calibri" w:cs="DejaVu Sans" w:ascii="CALIBRI" w:hAnsi="CALIBRI"/>
          <w:b w:val="false"/>
          <w:bCs w:val="false"/>
          <w:i w:val="false"/>
          <w:caps w:val="false"/>
          <w:smallCaps w:val="false"/>
          <w:sz w:val="32"/>
          <w:szCs w:val="32"/>
          <w:lang w:val="it-IT"/>
        </w:rPr>
        <w:t xml:space="preserve"> </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2) Urgent</w:t>
      </w:r>
      <w:r>
        <w:rPr>
          <w:rFonts w:eastAsia="Calibri" w:cs="DejaVu Sans" w:ascii="CALIBRI" w:hAnsi="CALIBRI"/>
          <w:b w:val="false"/>
          <w:bCs w:val="false"/>
          <w:i w:val="false"/>
          <w:caps w:val="false"/>
          <w:smallCaps w:val="false"/>
          <w:sz w:val="32"/>
          <w:szCs w:val="32"/>
          <w:lang w:val="it-IT"/>
        </w:rPr>
        <w:t>:</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3) Active</w:t>
      </w:r>
      <w:r>
        <w:rPr>
          <w:rFonts w:eastAsia="Calibri" w:cs="DejaVu Sans" w:ascii="CALIBRI" w:hAnsi="CALIBRI"/>
          <w:b w:val="false"/>
          <w:bCs w:val="false"/>
          <w:i w:val="false"/>
          <w:caps w:val="false"/>
          <w:smallCaps w:val="false"/>
          <w:sz w:val="32"/>
          <w:szCs w:val="32"/>
          <w:lang w:val="it-IT"/>
        </w:rPr>
        <w:t>:</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4) Inactive</w:t>
      </w:r>
      <w:r>
        <w:rPr>
          <w:rFonts w:eastAsia="Calibri" w:cs="DejaVu Sans" w:ascii="CALIBRI" w:hAnsi="CALIBRI"/>
          <w:b w:val="false"/>
          <w:bCs w:val="false"/>
          <w:i w:val="false"/>
          <w:caps w:val="false"/>
          <w:smallCaps w:val="false"/>
          <w:sz w:val="32"/>
          <w:szCs w:val="32"/>
          <w:lang w:val="it-IT"/>
        </w:rPr>
        <w:t>:</w:t>
      </w:r>
    </w:p>
    <w:p>
      <w:pPr>
        <w:pStyle w:val="Corpodeltesto"/>
        <w:jc w:val="both"/>
        <w:rPr>
          <w:highlight w:val="none"/>
          <w:shd w:fill="FFFF00" w:val="clear"/>
        </w:rPr>
      </w:pPr>
      <w:r>
        <w:rPr>
          <w:rFonts w:eastAsia="Calibri" w:cs="DejaVu Sans" w:ascii="CALIBRI" w:hAnsi="CALIBRI"/>
          <w:b w:val="false"/>
          <w:bCs w:val="false"/>
          <w:i w:val="false"/>
          <w:caps w:val="false"/>
          <w:smallCaps w:val="false"/>
          <w:sz w:val="32"/>
          <w:szCs w:val="32"/>
          <w:shd w:fill="FFFF00" w:val="clear"/>
          <w:lang w:val="it-IT"/>
        </w:rPr>
        <w:t>(dare una spiegazione, come li definiresti tu?)</w:t>
      </w:r>
    </w:p>
    <w:p>
      <w:pPr>
        <w:pStyle w:val="Corpodeltesto"/>
        <w:jc w:val="both"/>
        <w:rPr>
          <w:rFonts w:ascii="Calibri" w:hAnsi="Calibri" w:eastAsia="Calibri" w:cs="DejaVu Sans"/>
          <w:sz w:val="28"/>
          <w:szCs w:val="28"/>
        </w:rPr>
      </w:pPr>
      <w:r>
        <w:rPr>
          <w:rFonts w:eastAsia="Calibri" w:cs="DejaVu Sans"/>
          <w:sz w:val="28"/>
          <w:szCs w:val="28"/>
        </w:rPr>
        <w:t>Il parametro g invece rappresenta il gruppo sanguigno del paziente e può assumere 4 valori diversi:</w:t>
      </w:r>
    </w:p>
    <w:p>
      <w:pPr>
        <w:pStyle w:val="Corpodeltesto"/>
        <w:jc w:val="both"/>
        <w:rPr>
          <w:rFonts w:ascii="Calibri" w:hAnsi="Calibri" w:eastAsia="Calibri" w:cs="DejaVu Sans"/>
          <w:sz w:val="28"/>
          <w:szCs w:val="28"/>
        </w:rPr>
      </w:pPr>
      <w:r>
        <w:rPr>
          <w:rFonts w:eastAsia="Calibri" w:cs="DejaVu Sans"/>
          <w:sz w:val="28"/>
          <w:szCs w:val="28"/>
        </w:rPr>
        <w:t>1) A</w:t>
      </w:r>
    </w:p>
    <w:p>
      <w:pPr>
        <w:pStyle w:val="Corpodeltesto"/>
        <w:jc w:val="both"/>
        <w:rPr>
          <w:rFonts w:ascii="Calibri" w:hAnsi="Calibri" w:eastAsia="Calibri" w:cs="DejaVu Sans"/>
          <w:sz w:val="28"/>
          <w:szCs w:val="28"/>
        </w:rPr>
      </w:pPr>
      <w:r>
        <w:rPr>
          <w:rFonts w:eastAsia="Calibri" w:cs="DejaVu Sans"/>
          <w:sz w:val="28"/>
          <w:szCs w:val="28"/>
        </w:rPr>
        <w:t xml:space="preserve">2) B </w:t>
      </w:r>
    </w:p>
    <w:p>
      <w:pPr>
        <w:pStyle w:val="Corpodeltesto"/>
        <w:jc w:val="both"/>
        <w:rPr>
          <w:rFonts w:ascii="Calibri" w:hAnsi="Calibri" w:eastAsia="Calibri" w:cs="DejaVu Sans"/>
          <w:sz w:val="28"/>
          <w:szCs w:val="28"/>
        </w:rPr>
      </w:pPr>
      <w:r>
        <w:rPr>
          <w:rFonts w:eastAsia="Calibri" w:cs="DejaVu Sans"/>
          <w:sz w:val="28"/>
          <w:szCs w:val="28"/>
        </w:rPr>
        <w:t>3) 0</w:t>
      </w:r>
    </w:p>
    <w:p>
      <w:pPr>
        <w:pStyle w:val="Corpodeltesto"/>
        <w:jc w:val="both"/>
        <w:rPr>
          <w:rFonts w:ascii="Calibri" w:hAnsi="Calibri" w:eastAsia="Calibri" w:cs="DejaVu Sans"/>
          <w:sz w:val="28"/>
          <w:szCs w:val="28"/>
        </w:rPr>
      </w:pPr>
      <w:r>
        <w:rPr>
          <w:rFonts w:eastAsia="Calibri" w:cs="DejaVu Sans"/>
          <w:sz w:val="28"/>
          <w:szCs w:val="28"/>
        </w:rPr>
        <w:t>4) AB</w:t>
      </w:r>
    </w:p>
    <w:p>
      <w:pPr>
        <w:pStyle w:val="Corpodeltesto"/>
        <w:jc w:val="both"/>
        <w:rPr>
          <w:rFonts w:ascii="Calibri" w:hAnsi="Calibri" w:eastAsia="Calibri" w:cs="DejaVu Sans"/>
          <w:sz w:val="28"/>
          <w:szCs w:val="28"/>
        </w:rPr>
      </w:pPr>
      <w:r>
        <w:rPr>
          <w:rFonts w:eastAsia="Calibri" w:cs="DejaVu Sans"/>
          <w:sz w:val="28"/>
          <w:szCs w:val="28"/>
        </w:rPr>
        <w:t>Pertanto in totale ci sono 16 tipi diversi di utente paziente che possono entrare all’interno del sistema in esame.</w:t>
      </w:r>
    </w:p>
    <w:p>
      <w:pPr>
        <w:pStyle w:val="Corpodeltesto"/>
        <w:jc w:val="both"/>
        <w:rPr>
          <w:rFonts w:ascii="Calibri" w:hAnsi="Calibri" w:eastAsia="Calibri" w:cs="DejaVu Sans"/>
          <w:sz w:val="28"/>
          <w:szCs w:val="28"/>
        </w:rPr>
      </w:pPr>
      <w:r>
        <w:rPr>
          <w:rFonts w:eastAsia="Calibri" w:cs="DejaVu Sans"/>
          <w:sz w:val="28"/>
          <w:szCs w:val="28"/>
        </w:rPr>
      </w:r>
    </w:p>
    <w:p>
      <w:pPr>
        <w:pStyle w:val="Corpodeltesto"/>
        <w:jc w:val="both"/>
        <w:rPr>
          <w:rFonts w:ascii="Calibri" w:hAnsi="Calibri" w:eastAsia="Calibri" w:cs="DejaVu Sans"/>
          <w:sz w:val="28"/>
          <w:szCs w:val="28"/>
        </w:rPr>
      </w:pPr>
      <w:r>
        <w:rPr>
          <w:rFonts w:eastAsia="Calibri" w:cs="DejaVu Sans"/>
          <w:sz w:val="28"/>
          <w:szCs w:val="28"/>
        </w:rPr>
        <w:t>b. Gli organi in ingresso al sistema sono identificati dal parametro g, il quale rappresenta il gruppo sanguigno dell’organo. Esso assume gli stessi valori dell’omonimo parametro definito nel punto a.</w:t>
      </w:r>
    </w:p>
    <w:p>
      <w:pPr>
        <w:pStyle w:val="Corpodeltesto"/>
        <w:jc w:val="both"/>
        <w:rPr>
          <w:b/>
          <w:b/>
          <w:bCs/>
          <w:sz w:val="32"/>
          <w:szCs w:val="32"/>
        </w:rPr>
      </w:pPr>
      <w:r>
        <w:rPr>
          <w:b/>
          <w:bCs/>
          <w:sz w:val="32"/>
          <w:szCs w:val="32"/>
        </w:rPr>
      </w:r>
    </w:p>
    <w:p>
      <w:pPr>
        <w:pStyle w:val="Corpodeltesto"/>
        <w:jc w:val="both"/>
        <w:rPr>
          <w:b/>
          <w:b/>
          <w:bCs/>
          <w:sz w:val="32"/>
          <w:szCs w:val="32"/>
        </w:rPr>
      </w:pPr>
      <w:r>
        <w:rPr>
          <w:rFonts w:eastAsia="Calibri" w:cs="DejaVu Sans" w:ascii="CALIBRI" w:hAnsi="CALIBRI"/>
          <w:b/>
          <w:bCs/>
          <w:i w:val="false"/>
          <w:caps w:val="false"/>
          <w:smallCaps w:val="false"/>
          <w:sz w:val="28"/>
          <w:szCs w:val="28"/>
          <w:lang w:val="it-IT"/>
        </w:rPr>
        <w:t>Eventi</w:t>
      </w:r>
    </w:p>
    <w:p>
      <w:pPr>
        <w:pStyle w:val="Corpodeltesto"/>
        <w:jc w:val="both"/>
        <w:rPr>
          <w:rFonts w:ascii="Calibri" w:hAnsi="Calibri" w:eastAsia="Calibri" w:cs="DejaVu Sans"/>
          <w:b w:val="false"/>
          <w:b w:val="false"/>
          <w:bCs w:val="false"/>
          <w:sz w:val="28"/>
          <w:szCs w:val="28"/>
        </w:rPr>
      </w:pPr>
      <w:r>
        <w:rPr>
          <w:rFonts w:eastAsia="Calibri" w:cs="DejaVu Sans"/>
          <w:b w:val="false"/>
          <w:bCs w:val="false"/>
          <w:sz w:val="28"/>
          <w:szCs w:val="28"/>
        </w:rPr>
        <w:t>Tra gli eventi che caratterizzano il sistema si possono trovare:</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 xml:space="preserve">Arrivo di un nuovo paziente </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Arrivo di un nuovo organo</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Decesso di un paziente (uscita del paziente dal sistema)</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Deperimento di un organo (uscita dell’organo dal sistema)</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Match organo-paziente</w:t>
      </w:r>
    </w:p>
    <w:p>
      <w:pPr>
        <w:pStyle w:val="Corpodeltesto"/>
        <w:numPr>
          <w:ilvl w:val="0"/>
          <w:numId w:val="2"/>
        </w:numPr>
        <w:jc w:val="both"/>
        <w:rPr>
          <w:rFonts w:ascii="Calibri" w:hAnsi="Calibri" w:eastAsia="Calibri" w:cs="DejaVu Sans"/>
          <w:b w:val="false"/>
          <w:b w:val="false"/>
          <w:bCs w:val="false"/>
          <w:sz w:val="28"/>
          <w:szCs w:val="28"/>
        </w:rPr>
      </w:pPr>
      <w:r>
        <w:rPr>
          <w:rFonts w:eastAsia="Calibri" w:cs="DejaVu Sans"/>
          <w:b w:val="false"/>
          <w:bCs w:val="false"/>
          <w:sz w:val="28"/>
          <w:szCs w:val="28"/>
        </w:rPr>
        <w:t>Rigetto del trapianto</w:t>
      </w:r>
    </w:p>
    <w:p>
      <w:pPr>
        <w:pStyle w:val="Corpodeltesto"/>
        <w:jc w:val="both"/>
        <w:rPr>
          <w:b/>
          <w:b/>
          <w:bCs/>
          <w:sz w:val="32"/>
          <w:szCs w:val="32"/>
        </w:rPr>
      </w:pPr>
      <w:r>
        <w:rPr>
          <w:b/>
          <w:bCs/>
          <w:sz w:val="32"/>
          <w:szCs w:val="32"/>
        </w:rPr>
      </w:r>
    </w:p>
    <w:p>
      <w:pPr>
        <w:pStyle w:val="Corpodeltesto"/>
        <w:jc w:val="both"/>
        <w:rPr>
          <w:b/>
          <w:b/>
          <w:bCs/>
          <w:sz w:val="32"/>
          <w:szCs w:val="32"/>
        </w:rPr>
      </w:pPr>
      <w:r>
        <w:rPr>
          <w:rFonts w:eastAsia="Calibri" w:cs="DejaVu Sans" w:ascii="CALIBRI" w:hAnsi="CALIBRI"/>
          <w:b/>
          <w:bCs/>
          <w:i w:val="false"/>
          <w:caps w:val="false"/>
          <w:smallCaps w:val="false"/>
          <w:sz w:val="28"/>
          <w:szCs w:val="28"/>
          <w:lang w:val="it-IT"/>
        </w:rPr>
        <w:t>Variabili di stato</w:t>
      </w:r>
    </w:p>
    <w:p>
      <w:pPr>
        <w:pStyle w:val="Normal"/>
        <w:jc w:val="both"/>
        <w:rPr>
          <w:sz w:val="28"/>
          <w:szCs w:val="28"/>
        </w:rPr>
      </w:pPr>
      <w:r>
        <w:rPr>
          <w:sz w:val="28"/>
          <w:szCs w:val="28"/>
        </w:rPr>
        <w:t>Le variabili di stato considerate nel modello sono:</w:t>
      </w:r>
    </w:p>
    <w:p>
      <w:pPr>
        <w:pStyle w:val="Normal"/>
        <w:numPr>
          <w:ilvl w:val="0"/>
          <w:numId w:val="3"/>
        </w:numPr>
        <w:jc w:val="both"/>
        <w:rPr>
          <w:sz w:val="28"/>
          <w:szCs w:val="28"/>
        </w:rPr>
      </w:pPr>
      <w:r>
        <w:rPr>
          <w:sz w:val="28"/>
          <w:szCs w:val="28"/>
        </w:rPr>
        <w:t>Numero di serventi attivi per il trapianto</w:t>
      </w:r>
    </w:p>
    <w:p>
      <w:pPr>
        <w:pStyle w:val="Normal"/>
        <w:numPr>
          <w:ilvl w:val="0"/>
          <w:numId w:val="3"/>
        </w:numPr>
        <w:jc w:val="both"/>
        <w:rPr>
          <w:sz w:val="28"/>
          <w:szCs w:val="28"/>
        </w:rPr>
      </w:pPr>
      <w:r>
        <w:rPr>
          <w:sz w:val="28"/>
          <w:szCs w:val="28"/>
        </w:rPr>
        <w:t>Numero di organi disponibili per gruppo sanguigno</w:t>
      </w:r>
    </w:p>
    <w:p>
      <w:pPr>
        <w:pStyle w:val="Normal"/>
        <w:numPr>
          <w:ilvl w:val="0"/>
          <w:numId w:val="3"/>
        </w:numPr>
        <w:jc w:val="both"/>
        <w:rPr>
          <w:sz w:val="28"/>
          <w:szCs w:val="28"/>
        </w:rPr>
      </w:pPr>
      <w:r>
        <w:rPr>
          <w:sz w:val="28"/>
          <w:szCs w:val="28"/>
        </w:rPr>
        <w:t>Numero di pazienti in arrivo per gruppo sanguigno</w:t>
      </w:r>
    </w:p>
    <w:p>
      <w:pPr>
        <w:pStyle w:val="Normal"/>
        <w:numPr>
          <w:ilvl w:val="0"/>
          <w:numId w:val="3"/>
        </w:numPr>
        <w:jc w:val="both"/>
        <w:rPr>
          <w:sz w:val="28"/>
          <w:szCs w:val="28"/>
        </w:rPr>
      </w:pPr>
      <w:r>
        <w:rPr>
          <w:sz w:val="28"/>
          <w:szCs w:val="28"/>
        </w:rPr>
        <w:t>Numero di pazienti “in peggioramento”</w:t>
      </w:r>
    </w:p>
    <w:p>
      <w:pPr>
        <w:pStyle w:val="Normal"/>
        <w:jc w:val="both"/>
        <w:rPr>
          <w:highlight w:val="none"/>
          <w:shd w:fill="FFFF00" w:val="clear"/>
        </w:rPr>
      </w:pPr>
      <w:r>
        <w:rPr>
          <w:sz w:val="28"/>
          <w:szCs w:val="28"/>
          <w:shd w:fill="FFFF00" w:val="clear"/>
        </w:rPr>
        <w:t>(forse potrebbero essercene delle altre? + trovare altro termine per ultimo punto)</w:t>
      </w:r>
    </w:p>
    <w:p>
      <w:pPr>
        <w:pStyle w:val="Normal"/>
        <w:jc w:val="both"/>
        <w:rPr>
          <w:sz w:val="28"/>
          <w:szCs w:val="28"/>
        </w:rPr>
      </w:pPr>
      <w:r>
        <w:rPr>
          <w:rFonts w:cs="Times New Roman" w:ascii="CALIBRI" w:hAnsi="CALIBRI"/>
          <w:b/>
          <w:bCs/>
          <w:sz w:val="28"/>
          <w:szCs w:val="28"/>
        </w:rPr>
        <w:t>Assunzioni</w:t>
      </w:r>
    </w:p>
    <w:p>
      <w:pPr>
        <w:pStyle w:val="ListParagraph"/>
        <w:numPr>
          <w:ilvl w:val="0"/>
          <w:numId w:val="1"/>
        </w:numPr>
        <w:spacing w:before="0" w:after="0"/>
        <w:ind w:left="360" w:right="0" w:hanging="360"/>
        <w:contextualSpacing/>
        <w:jc w:val="both"/>
        <w:rPr>
          <w:rFonts w:ascii="Calibri" w:hAnsi="Calibri"/>
          <w:sz w:val="28"/>
          <w:szCs w:val="28"/>
        </w:rPr>
      </w:pPr>
      <w:r>
        <w:rPr>
          <w:sz w:val="28"/>
          <w:szCs w:val="28"/>
        </w:rPr>
        <w:t>Le richieste di trapianto superano la disponibilità di organi:</w:t>
      </w:r>
      <w:r>
        <w:rPr>
          <w:spacing w:val="-3"/>
          <w:w w:val="105"/>
          <w:sz w:val="28"/>
          <w:szCs w:val="28"/>
        </w:rPr>
        <w:t xml:space="preserve"> </w:t>
      </w:r>
      <w:r>
        <w:rPr/>
      </w:r>
      <m:oMath xmlns:m="http://schemas.openxmlformats.org/officeDocument/2006/math">
        <m:r>
          <w:rPr>
            <w:rFonts w:ascii="Cambria Math" w:hAnsi="Cambria Math"/>
          </w:rPr>
          <m:t xml:space="preserve">ρ</m:t>
        </m:r>
        <m:r>
          <w:rPr>
            <w:rFonts w:ascii="Cambria Math" w:hAnsi="Cambria Math"/>
          </w:rPr>
          <m:t xml:space="preserve">&gt;</m:t>
        </m:r>
        <m:r>
          <w:rPr>
            <w:rFonts w:ascii="Cambria Math" w:hAnsi="Cambria Math"/>
          </w:rPr>
          <m:t xml:space="preserve">1</m:t>
        </m:r>
      </m:oMath>
      <w:r>
        <w:rPr>
          <w:spacing w:val="-3"/>
          <w:w w:val="105"/>
          <w:sz w:val="28"/>
          <w:szCs w:val="28"/>
        </w:rPr>
        <w:t>.</w:t>
      </w:r>
    </w:p>
    <w:p>
      <w:pPr>
        <w:pStyle w:val="ListParagraph"/>
        <w:numPr>
          <w:ilvl w:val="0"/>
          <w:numId w:val="1"/>
        </w:numPr>
        <w:spacing w:before="0" w:after="0"/>
        <w:ind w:left="360" w:right="0" w:hanging="360"/>
        <w:contextualSpacing/>
        <w:jc w:val="both"/>
        <w:rPr>
          <w:rFonts w:ascii="Calibri" w:hAnsi="Calibri"/>
          <w:sz w:val="28"/>
          <w:szCs w:val="28"/>
        </w:rPr>
      </w:pPr>
      <w:r>
        <w:rPr>
          <w:spacing w:val="-3"/>
          <w:w w:val="105"/>
          <w:sz w:val="28"/>
          <w:szCs w:val="28"/>
        </w:rPr>
        <w:t xml:space="preserve">L’effettivo numero di pazienti che ricevono il trapianto è di gran lunga inferiore rispetto a quelli che lo richiedono, poiché le loro condizioni di salute peggiorano con il passare del tempo: </w:t>
      </w:r>
      <w:r>
        <w:rPr/>
      </w:r>
      <m:oMath xmlns:m="http://schemas.openxmlformats.org/officeDocument/2006/math">
        <m:sSup>
          <m:e>
            <m:r>
              <w:rPr>
                <w:rFonts w:ascii="Cambria Math" w:hAnsi="Cambria Math"/>
              </w:rPr>
              <m:t xml:space="preserve">ρ</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spacing w:val="-3"/>
          <w:w w:val="105"/>
          <w:sz w:val="28"/>
          <w:szCs w:val="28"/>
        </w:rPr>
        <w:t>.</w:t>
      </w:r>
    </w:p>
    <w:p>
      <w:pPr>
        <w:pStyle w:val="ListParagraph"/>
        <w:numPr>
          <w:ilvl w:val="0"/>
          <w:numId w:val="1"/>
        </w:numPr>
        <w:spacing w:before="0" w:after="0"/>
        <w:ind w:left="360" w:right="0" w:hanging="360"/>
        <w:contextualSpacing/>
        <w:jc w:val="both"/>
        <w:rPr>
          <w:rFonts w:ascii="Calibri" w:hAnsi="Calibri"/>
          <w:sz w:val="28"/>
          <w:szCs w:val="28"/>
        </w:rPr>
      </w:pPr>
      <w:r>
        <w:rPr>
          <w:spacing w:val="-3"/>
          <w:w w:val="105"/>
          <w:sz w:val="28"/>
          <w:szCs w:val="28"/>
        </w:rPr>
        <w:t>Gli arrivi dei pazienti sono arrivi indipendenti di Poisson.</w:t>
      </w:r>
    </w:p>
    <w:p>
      <w:pPr>
        <w:pStyle w:val="ListParagraph"/>
        <w:numPr>
          <w:ilvl w:val="0"/>
          <w:numId w:val="1"/>
        </w:numPr>
        <w:spacing w:before="0" w:after="0"/>
        <w:ind w:left="360" w:right="0" w:hanging="360"/>
        <w:contextualSpacing/>
        <w:jc w:val="both"/>
        <w:rPr>
          <w:rFonts w:ascii="Calibri" w:hAnsi="Calibri"/>
          <w:sz w:val="28"/>
          <w:szCs w:val="28"/>
        </w:rPr>
      </w:pPr>
      <w:r>
        <w:rPr>
          <w:spacing w:val="-3"/>
          <w:w w:val="105"/>
          <w:sz w:val="28"/>
          <w:szCs w:val="28"/>
        </w:rPr>
        <w:t>Gli arrivi degli organi sono arrivi indipendenti di Poisson.</w:t>
      </w:r>
    </w:p>
    <w:p>
      <w:pPr>
        <w:pStyle w:val="ListParagraph"/>
        <w:numPr>
          <w:ilvl w:val="0"/>
          <w:numId w:val="1"/>
        </w:numPr>
        <w:spacing w:before="0" w:after="0"/>
        <w:ind w:left="360" w:right="0" w:hanging="360"/>
        <w:contextualSpacing/>
        <w:jc w:val="both"/>
        <w:rPr>
          <w:rFonts w:ascii="Calibri" w:hAnsi="Calibri"/>
          <w:sz w:val="28"/>
          <w:szCs w:val="28"/>
        </w:rPr>
      </w:pPr>
      <w:r>
        <w:rPr>
          <w:spacing w:val="-3"/>
          <w:w w:val="105"/>
          <w:sz w:val="28"/>
          <w:szCs w:val="28"/>
        </w:rPr>
        <w:t>I pazienti mantengono uno stato di salute tale da sostenere il trapianto per un tempo distribuito esponenzialmente, dopo il quale abbandonano la lista di attesa.</w:t>
      </w:r>
    </w:p>
    <w:p>
      <w:pPr>
        <w:pStyle w:val="ListParagraph"/>
        <w:numPr>
          <w:ilvl w:val="0"/>
          <w:numId w:val="1"/>
        </w:numPr>
        <w:spacing w:before="0" w:after="0"/>
        <w:ind w:left="360" w:right="0" w:hanging="360"/>
        <w:contextualSpacing/>
        <w:jc w:val="both"/>
        <w:rPr>
          <w:rFonts w:ascii="Calibri" w:hAnsi="Calibri"/>
          <w:sz w:val="28"/>
          <w:szCs w:val="28"/>
        </w:rPr>
      </w:pPr>
      <w:r>
        <w:rPr>
          <w:spacing w:val="-3"/>
          <w:w w:val="105"/>
          <w:sz w:val="28"/>
          <w:szCs w:val="28"/>
        </w:rPr>
        <w:t>Gli organi deperiscono dopo in tempo distribuito esponenzialmente.</w:t>
      </w:r>
    </w:p>
    <w:p>
      <w:pPr>
        <w:pStyle w:val="ListParagraph"/>
        <w:spacing w:before="0" w:after="0"/>
        <w:ind w:left="0" w:right="0" w:hanging="0"/>
        <w:contextualSpacing/>
        <w:jc w:val="both"/>
        <w:rPr/>
      </w:pPr>
      <w:r>
        <w:rPr/>
      </w:r>
    </w:p>
    <w:p>
      <w:pPr>
        <w:pStyle w:val="ListParagraph"/>
        <w:spacing w:before="0" w:after="0"/>
        <w:ind w:left="0" w:righ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Intestazioneepidipagina">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228</TotalTime>
  <Application>LibreOffice/7.3.7.2$Linux_X86_64 LibreOffice_project/30$Build-2</Application>
  <AppVersion>15.0000</AppVersion>
  <Pages>5</Pages>
  <Words>879</Words>
  <Characters>4644</Characters>
  <CharactersWithSpaces>5458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2023-06-09T20:43:01Z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