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nr. 2026083115/31.08.2026 și Procesul-verbal de predare-primire nr. 2026090110/01.09.2026, autoturismul (însoțit de certificatul de înmatriculare, RCA, CASCO și rovinietă) a fost pus la dispoziția echipei începând cu 01.09.2026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7.798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(expus la sediul beneficiarului și la unitățile de învățământ partenere), flyerul de prezentare față-verso pentru unitățile de învățământ și flyerul de 12 × 17 cm pentru elevi și părinți, realizate în luna iulie 2026 cu elementele obligatorii de identitate vizuală.</w:t>
      </w:r>
    </w:p>
    <w:p>
      <w:pPr>
        <w:jc w:val="both"/>
      </w:pPr>
      <w:r>
        <w:rPr>
          <w:b w:val="0"/>
          <w:i w:val="0"/>
        </w:rPr>
        <w:t>R9: 1 anunț de începere a proiectului publicat la 07.07.2026 pe pagina de Facebook a proiectului și pe subpagina dedicată de pe site-ul beneficiarului (https://napocaporolissum.ro/unic-porolissum-2/), cu dovada publicării arhivată.</w:t>
      </w:r>
    </w:p>
    <w:p>
      <w:pPr>
        <w:jc w:val="both"/>
      </w:pPr>
      <w:r>
        <w:rPr>
          <w:b w:val="0"/>
          <w:i w:val="0"/>
        </w:rPr>
        <w:t>R10: promovarea proiectului online realizată – subpagina proiectului pe site-ul beneficiarului (creată la 02.07.2026, cu anunțuri și metodologii), pagina de Facebook „UNIC: Viitor prin Educație” (7 postări), contul de Instagram @unic.viitorprineducatie (3 postări) și pagina de LinkedIn a beneficiarului (3 postări) – în total 13 postări în perioada de raportare.</w:t>
      </w:r>
    </w:p>
    <w:p>
      <w:pPr>
        <w:jc w:val="both"/>
      </w:pPr>
      <w:r>
        <w:rPr>
          <w:b w:val="0"/>
          <w:i w:val="0"/>
        </w:rPr>
        <w:t>R11 (anunț de finalizare): nu este planificat pentru perioada de raportare.</w:t>
      </w:r>
    </w:p>
    <w:p>
      <w:pPr>
        <w:spacing w:after="160"/>
      </w:pPr>
      <w:r>
        <w:rPr>
          <w:b w:val="0"/>
          <w:i/>
          <w:color w:val="1E6B2E"/>
          <w:sz w:val="16"/>
        </w:rPr>
        <w:t>Caractere: 1.015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asigurat vizibilitatea proiectului și a sprijinului acordat de Uniunea Europeană prin Programul Educație și Ocupare 2021-2027 încă de la debutul implementării, prin măsurile minime de informare și publicitate prevăzute în cererea de finanțare, în Ghidul solicitantului – condiții generale și în Manualul de identitate vizuală 2021-2027: descrierea operațiunii pe site și pe paginile de comunicare socială, mențiunea sprijinului UE în documente și materiale, afișul A3 la sediul de implementare și informarea participanților cu privire la sprijinul FSE+. Activitatea a fost derulată de Asistentul manager, cu sprijinul Expertului comunicare și al Experților GT pentru conținutul postărilor și distribuirea materialelor în școli, sub avizarea Managerului de proiect.</w:t>
      </w:r>
    </w:p>
    <w:p>
      <w:pPr>
        <w:jc w:val="both"/>
      </w:pPr>
      <w:r>
        <w:rPr>
          <w:b w:val="0"/>
          <w:i w:val="0"/>
        </w:rPr>
        <w:t xml:space="preserve">Publicarea anunțului de începere a proiectului. La 02.07.2026, pe site-ul beneficiarului a fost creată subpagina dedicată proiectului, în secțiunea „Programe – PEO”, cu antetul proiectului (emblema Uniunii Europene și mențiunea „Cofinanțat de Uniunea Europeană”, sigla Guvernului României, sigla beneficiarului și sigla proiectului), cu datele de identificare, descrierea și obiectivul principal, justificarea, rezultatele așteptate, activitățile și secțiunile „Anunțuri” și „Metodologii”. Anunțul de începere, redactat de Asistentul manager după structura obligatorie din Manualul de identitate vizuală (beneficiar, titlu și cod MySMIS 352704, program și prioritate, fond FSE+, perioadă și regiune de implementare, valoare totală de 6.917.106,49 lei, scop, activități, grup țintă, rezultate, date de contact) și avizat de Managerul de proiect, a fost publicat la 07.07.2026 pe pagina de Facebook a proiectului, în postare comună cu pagina beneficiarului, și pe subpagina proiectului </w:t>
      </w:r>
      <w:r>
        <w:rPr>
          <w:b w:val="0"/>
          <w:i w:val="0"/>
          <w:highlight w:val="yellow"/>
        </w:rPr>
        <w:t>«(data publicării pe site: __.07.2026)»</w:t>
      </w:r>
      <w:r>
        <w:rPr>
          <w:b w:val="0"/>
          <w:i w:val="0"/>
        </w:rPr>
        <w:t>; dovada publicării, cu data și adresa URL activă, și anunțul în format PDF sunt arhivate în dosarul de informare și publicitate.</w:t>
      </w:r>
    </w:p>
    <w:p>
      <w:pPr>
        <w:jc w:val="both"/>
      </w:pPr>
      <w:r>
        <w:rPr>
          <w:b w:val="0"/>
          <w:i w:val="0"/>
        </w:rPr>
        <w:t xml:space="preserve">Promovarea proiectului online. În iulie 2026 au fost create canalele de comunicare ale proiectului: pagina de Facebook „UNIC: Viitor prin Educație” (https://www.facebook.com/unic.viitorprineducatie), cu fotografie de copertă conformă regulilor de identitate vizuală și secțiunea „Prezentare” cu titlul proiectului, mențiunea cofinanțării și codul MySMIS, care avea </w:t>
      </w:r>
      <w:r>
        <w:rPr>
          <w:b w:val="0"/>
          <w:i w:val="0"/>
          <w:highlight w:val="yellow"/>
        </w:rPr>
        <w:t>«588»</w:t>
      </w:r>
      <w:r>
        <w:rPr>
          <w:b w:val="0"/>
          <w:i w:val="0"/>
        </w:rPr>
        <w:t xml:space="preserve"> de urmăritori la finalul perioadei de raportare, și contul de Instagram @unic.viitorprineducatie; pentru comunicarea către angajatori și instituții a fost folosită și pagina de LinkedIn a beneficiarului. În perioada de raportare au fost publicate 13 postări, fiecare cu emblema UE, mențiunea cofinanțării și codul SMIS: în iulie, anunțul de începere (07.07) și anunțul publicării celor două metodologii pe site (16.07); în august, prezentarea pachetului de măsuri pentru cei 500 de elevi din Turda și Huedin (04.08) și anunțul de recrutare a formatorilor pentru programul de formare a cadrelor didactice (13.08, Facebook și Instagram); în septembrie, apelul la înscriere adresat elevilor de la Colegiul Tehnic Turda și Liceul Tehnologic „Vlădeasa” Huedin, cu trimitere la metodologiile de pe site (17.09), începerea orelor remediale de limba română și a primelor activități cu elevii la Colegiul Tehnic Turda, cu fotografii și material video (29.09, Facebook și Instagram), și trei postări pe LinkedIn (29.09) cu prezentarea proiectului, a modelului de intervenție și apelul către companiile din județul Cluj pentru târgul de oportunități și vizitele la operatori economici. La 16.07.2026 au fost publicate pe subpagina proiectului Metodologia de selecție a grupului țintă și Metodologia privind acordarea sprijinului financiar, asigurând accesul egal la informație și transparența selecției. Conținutul postărilor a fost pregătit de Asistentul manager și de Expertul comunicare și avizat de Managerul de proiect; link-urile și capturile de ecran cu data vizibilă sunt centralizate lunar în documentele „SA 3.1_Informare și publicitate_UNIC_352704” pentru iulie, august și septembrie 2026.</w:t>
      </w:r>
    </w:p>
    <w:p>
      <w:pPr>
        <w:jc w:val="both"/>
      </w:pPr>
      <w:r>
        <w:rPr>
          <w:b w:val="0"/>
          <w:i w:val="0"/>
        </w:rPr>
        <w:t xml:space="preserve">Realizarea și distribuirea materialelor publicitare. În luna iulie 2026 au fost realizate, în regie proprie, afișul A3 al proiectului, flyerul de prezentare față-verso pentru unitățile de învățământ (scopul proiectului, grupul țintă pe acțiuni, documentele necesare înscrierii, protecția datelor) și flyerul de 12 × 17 cm pentru elevi și părinți, cu conceptul și conținutul verificate de Managerul de proiect sub aspectul identității vizuale. Afișul A3 a fost expus într-un loc vizibil publicului la sediul de implementare din comuna Gilău și la unitățile de învățământ partenere – Colegiul Tehnic Turda, inclusiv la structura Poiana, Liceul Tehnologic „Vlădeasa” Huedin și, din septembrie, Liceul Teologic Reformat Cluj-Napoca – fiind realizate fotografii ca dovadă </w:t>
      </w:r>
      <w:r>
        <w:rPr>
          <w:b w:val="0"/>
          <w:i w:val="0"/>
          <w:highlight w:val="yellow"/>
        </w:rPr>
        <w:t>«(fotografia afișului de la Huedin și de la Liceul Teologic Reformat – de adăugat)»</w:t>
      </w:r>
      <w:r>
        <w:rPr>
          <w:b w:val="0"/>
          <w:i w:val="0"/>
        </w:rPr>
        <w:t>. Flyerele au fost distribuite elevilor și părinților la întâlnirile de informare și recrutare din iulie, august și septembrie 2026 și au stat la baza materialelor campaniei de informare și conștientizare din SA5.3.</w:t>
      </w:r>
    </w:p>
    <w:p>
      <w:pPr>
        <w:jc w:val="both"/>
      </w:pPr>
      <w:r>
        <w:rPr>
          <w:b w:val="0"/>
          <w:i w:val="0"/>
        </w:rPr>
        <w:t xml:space="preserve">Mențiunea privind sprijinul UE în documente și informarea participanților. Toate documentele utilizate în relația cu grupul țintă și cu publicul (formularele de înscriere, notele de informare, listele de prezență, fișele de lucru, testele de evaluare, adeverințele, minutele) poartă antetul proiectului și mențiunea cofinanțării de către Uniunea Europeană prin Programul Educație și Ocupare 2021-2027, iar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conținând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(cu link-uri și date), materialele de informare realizate, fotografiile afișelor expuse și fișele de pontaj și rapoartele de activitate ale experților implicați, centralizate în cele trei documente lunare ale subactivității.</w:t>
      </w:r>
    </w:p>
    <w:p>
      <w:pPr>
        <w:spacing w:after="160"/>
      </w:pPr>
      <w:r>
        <w:rPr>
          <w:b w:val="0"/>
          <w:i/>
          <w:color w:val="1E6B2E"/>
          <w:sz w:val="16"/>
        </w:rPr>
        <w:t>Caractere: 6.186 / 10.500 (59%)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SA3.1 verificat la 14.10 pe site, Facebook, Instagram, LinkedIn: 7 postări FB (07.07, 16.07, 04.08, 13.08, 17.09, 29.09 ×2), 3 IG (13.08, 29.09 ×2), 3 LinkedIn (29.09, pe pagina Asociației). În PDF-ul echipei link-urile postărilor din 17.09 și 29.09 10:57 sunt inversate – corectate în documentul lunar. Lipsesc: fotografia afișului de la Huedin și LTR, data publicării anunțului pe site, numărul de urmăritori la 30.09.</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45 de elevi din clasa a IX-a au participat la cel puțin o sesiune remedială – 26 la Colegiul Tehnic Turda și 19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01.09.2026, data procesului-verbal de predare-primire a autoturismului, în baza ordinului de începere din 31.08.2026.</w:t>
      </w:r>
    </w:p>
    <w:p>
      <w:pPr>
        <w:spacing w:after="160"/>
      </w:pPr>
      <w:r>
        <w:rPr>
          <w:b w:val="0"/>
          <w:i/>
          <w:color w:val="1E6B2E"/>
          <w:sz w:val="16"/>
        </w:rPr>
        <w:t>Caractere: 849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nr. 2026090110/01.09.2026, în baza Ordinului de începere nr. 2026083115/31.08.2026.</w:t>
      </w:r>
    </w:p>
    <w:p>
      <w:pPr>
        <w:spacing w:after="160"/>
      </w:pPr>
      <w:r>
        <w:rPr>
          <w:b w:val="0"/>
          <w:i/>
          <w:color w:val="1E6B2E"/>
          <w:sz w:val="16"/>
        </w:rPr>
        <w:t>Caractere: 1.190 / 3.500 (34%)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jc w:val="both"/>
      </w:pPr>
      <w:r>
        <w:rPr>
          <w:b w:val="0"/>
          <w:i w:val="0"/>
        </w:rPr>
        <w:t>Procedurile pentru serviciile de organizare a târgului de oportunități și pentru serviciile de masă caldă nu au fost demarate în perioada de raportare (detalii în secțiunea 7).</w:t>
      </w:r>
    </w:p>
    <w:p>
      <w:pPr>
        <w:spacing w:after="160"/>
      </w:pPr>
      <w:r>
        <w:rPr>
          <w:b w:val="0"/>
          <w:i/>
          <w:color w:val="1E6B2E"/>
          <w:sz w:val="16"/>
        </w:rPr>
        <w:t>Caractere: 5.163 / 10.500 (49%)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pPr>
        <w:spacing w:after="160"/>
      </w:pPr>
      <w:r>
        <w:rPr>
          <w:b w:val="0"/>
          <w:i/>
          <w:color w:val="1E6B2E"/>
          <w:sz w:val="16"/>
        </w:rPr>
        <w:t>Caractere: 631 / 10.500 (6%)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Autoturism: ordinul de începere este nr. 2026083115/31.08.2026, PV predare-primire nr. 2026090110/01.09.2026 (nu 03.09). Factura Vera Travel pentru septembrie nu este în Drive (CR1/Inchiriere auto/Septembrie are doar tabelul centralizator, 15 zile) – se completează la primire. IT: factura ASF 080/18.09 stornează ASF 078/04.09 emisă pe contractul încetat – de păstrat explicația în dosar. Evidența contabilă/repartizarea echipamentelor: document lipsă în Drive.</w:t>
            </w:r>
          </w:p>
        </w:tc>
      </w:tr>
    </w:tbl>
    <w:p>
      <w:pPr>
        <w:spacing w:after="0"/>
      </w:pP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rPr>
              <w:t>PV de predare-primire și recepție din 18.09.2026 (fără număr)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PV-ul nu are număr de înregistrare.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20"/>
        <w:ind w:left="357" w:hanging="357"/>
      </w:pPr>
      <w:r>
        <w:t>•</w:t>
        <w:tab/>
      </w:r>
      <w:r>
        <w:rPr>
          <w:b w:val="0"/>
          <w:i w:val="0"/>
        </w:rPr>
        <w:t xml:space="preserve">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20"/>
        <w:ind w:left="357" w:hanging="357"/>
      </w:pPr>
      <w:r>
        <w:t>•</w:t>
        <w:tab/>
      </w:r>
      <w:r>
        <w:rPr>
          <w:b w:val="0"/>
          <w:i w:val="0"/>
        </w:rPr>
        <w:t xml:space="preserve">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97 de elevi intrați în operațiune, </w:t>
      </w:r>
      <w:r>
        <w:rPr>
          <w:b w:val="0"/>
          <w:i w:val="0"/>
          <w:highlight w:val="yellow"/>
        </w:rPr>
        <w:t>«38»</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20"/>
        <w:ind w:left="357" w:hanging="357"/>
      </w:pPr>
      <w:r>
        <w:t>•</w:t>
        <w:tab/>
      </w:r>
      <w:r>
        <w:rPr>
          <w:b w:val="0"/>
          <w:i w:val="0"/>
        </w:rPr>
        <w:t>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20"/>
        <w:ind w:left="357" w:hanging="357"/>
      </w:pPr>
      <w:r>
        <w:t>•</w:t>
        <w:tab/>
      </w:r>
      <w:r>
        <w:rPr>
          <w:b w:val="0"/>
          <w:i w:val="0"/>
        </w:rPr>
        <w:t xml:space="preserve">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2.662 / 10.500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20"/>
        <w:ind w:left="357" w:hanging="357"/>
      </w:pPr>
      <w:r>
        <w:t>•</w:t>
        <w:tab/>
      </w:r>
      <w:r>
        <w:rPr>
          <w:b w:val="0"/>
          <w:i w:val="0"/>
        </w:rPr>
        <w:t>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20"/>
        <w:ind w:left="357" w:hanging="357"/>
      </w:pPr>
      <w:r>
        <w:t>•</w:t>
        <w:tab/>
      </w:r>
      <w:r>
        <w:rPr>
          <w:b w:val="0"/>
          <w:i w:val="0"/>
        </w:rPr>
        <w:t xml:space="preserve">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97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20"/>
        <w:ind w:left="357" w:hanging="357"/>
      </w:pPr>
      <w:r>
        <w:t>•</w:t>
        <w:tab/>
      </w:r>
      <w:r>
        <w:rPr>
          <w:b w:val="0"/>
          <w:i w:val="0"/>
        </w:rPr>
        <w:t xml:space="preserve">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20"/>
        <w:ind w:left="357" w:hanging="357"/>
      </w:pPr>
      <w:r>
        <w:t>•</w:t>
        <w:tab/>
      </w:r>
      <w:r>
        <w:rPr>
          <w:b w:val="0"/>
          <w:i w:val="0"/>
        </w:rPr>
        <w:t>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20"/>
        <w:ind w:left="357" w:hanging="357"/>
      </w:pPr>
      <w:r>
        <w:t>•</w:t>
        <w:tab/>
      </w:r>
      <w:r>
        <w:rPr>
          <w:b w:val="0"/>
          <w:i w:val="0"/>
        </w:rPr>
        <w:t xml:space="preserve">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3.084 / 10.500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conform angajamentelor din cererea de finanțare:</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acolo unde a fost posibil, activitățile s-au derulat online, pentru eliminarea barierelor de acces: formarea cadrelor didactice integral online, două dintre cele cinci întâlniri de management prin platforma Zoom;</w:t>
      </w:r>
    </w:p>
    <w:p>
      <w:pPr>
        <w:spacing w:after="20"/>
        <w:ind w:left="357" w:hanging="357"/>
      </w:pPr>
      <w:r>
        <w:t>•</w:t>
        <w:tab/>
      </w:r>
      <w:r>
        <w:rPr>
          <w:b w:val="0"/>
          <w:i w:val="0"/>
        </w:rPr>
        <w:t xml:space="preserve">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20"/>
        <w:ind w:left="357" w:hanging="357"/>
      </w:pPr>
      <w:r>
        <w:t>•</w:t>
        <w:tab/>
      </w:r>
      <w:r>
        <w:rPr>
          <w:b w:val="0"/>
          <w:i w:val="0"/>
        </w:rPr>
        <w:t>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20"/>
        <w:ind w:left="357" w:hanging="357"/>
      </w:pPr>
      <w:r>
        <w:t>•</w:t>
        <w:tab/>
      </w:r>
      <w:r>
        <w:rPr>
          <w:b w:val="0"/>
          <w:i w:val="0"/>
        </w:rPr>
        <w:t xml:space="preserve">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jc w:val="both"/>
      </w:pPr>
      <w:r>
        <w:rPr>
          <w:b w:val="0"/>
          <w:i w:val="0"/>
        </w:rPr>
        <w:t>Nu au fost semnalate situații în care accesul la activități să fi fost limitat.</w:t>
      </w:r>
    </w:p>
    <w:p>
      <w:pPr>
        <w:spacing w:after="160"/>
      </w:pPr>
      <w:r>
        <w:rPr>
          <w:b w:val="0"/>
          <w:i/>
          <w:color w:val="1E6B2E"/>
          <w:sz w:val="16"/>
        </w:rPr>
        <w:t>Caractere: 2.058 / 10.500 (20%)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160"/>
      </w:pPr>
      <w:r>
        <w:rPr>
          <w:b w:val="0"/>
          <w:i/>
          <w:color w:val="1E6B2E"/>
          <w:sz w:val="16"/>
        </w:rPr>
        <w:t>Caractere: 555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160"/>
      </w:pPr>
      <w:r>
        <w:rPr>
          <w:b w:val="0"/>
          <w:i/>
          <w:color w:val="1E6B2E"/>
          <w:sz w:val="16"/>
        </w:rPr>
        <w:t>Caractere: 497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160"/>
      </w:pPr>
      <w:r>
        <w:rPr>
          <w:b w:val="0"/>
          <w:i/>
          <w:color w:val="1E6B2E"/>
          <w:sz w:val="16"/>
        </w:rPr>
        <w:t>Caractere: 373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măsurile asumate în cererea de finanțare au fost aplicate astfel:</w:t>
      </w:r>
    </w:p>
    <w:p>
      <w:pPr>
        <w:spacing w:after="20"/>
        <w:ind w:left="357" w:hanging="357"/>
      </w:pPr>
      <w:r>
        <w:t>•</w:t>
        <w:tab/>
      </w:r>
      <w:r>
        <w:rPr>
          <w:b w:val="0"/>
          <w:i w:val="0"/>
        </w:rPr>
        <w:t>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20"/>
        <w:ind w:left="357" w:hanging="357"/>
      </w:pPr>
      <w:r>
        <w:t>•</w:t>
        <w:tab/>
      </w:r>
      <w:r>
        <w:rPr>
          <w:b w:val="0"/>
          <w:i w:val="0"/>
        </w:rPr>
        <w:t>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20"/>
        <w:ind w:left="357" w:hanging="357"/>
      </w:pPr>
      <w:r>
        <w:t>•</w:t>
        <w:tab/>
      </w:r>
      <w:r>
        <w:rPr>
          <w:b w:val="0"/>
          <w:i w:val="0"/>
        </w:rPr>
        <w:t xml:space="preserve">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20"/>
        <w:ind w:left="357" w:hanging="357"/>
      </w:pPr>
      <w:r>
        <w:t>•</w:t>
        <w:tab/>
      </w:r>
      <w:r>
        <w:rPr>
          <w:b w:val="0"/>
          <w:i w:val="0"/>
          <w:highlight w:val="yellow"/>
        </w:rPr>
        <w:t>«economizorul de apă temporizat pentru robinete a fost instalat / urmează să fie instalat la sediul de implementare»</w:t>
      </w:r>
      <w:r>
        <w:rPr>
          <w:b w:val="0"/>
          <w:i w:val="0"/>
        </w:rPr>
        <w:t>.</w:t>
      </w:r>
    </w:p>
    <w:p>
      <w:pPr>
        <w:spacing w:after="160"/>
      </w:pPr>
      <w:r>
        <w:rPr>
          <w:b w:val="0"/>
          <w:i/>
          <w:color w:val="1E6B2E"/>
          <w:sz w:val="16"/>
        </w:rPr>
        <w:t>Caractere: 1.126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160"/>
      </w:pPr>
      <w:r>
        <w:rPr>
          <w:b w:val="0"/>
          <w:i/>
          <w:color w:val="1E6B2E"/>
          <w:sz w:val="16"/>
        </w:rPr>
        <w:t>Caractere: 311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În perioada de raportare iulie – septembrie 2026:</w:t>
      </w:r>
    </w:p>
    <w:p>
      <w:pPr>
        <w:spacing w:after="20"/>
        <w:ind w:left="357" w:hanging="357"/>
      </w:pPr>
      <w:r>
        <w:t>•</w:t>
        <w:tab/>
      </w:r>
      <w:r>
        <w:rPr>
          <w:b w:val="0"/>
          <w:i w:val="0"/>
        </w:rPr>
        <w:t>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20"/>
        <w:ind w:left="357" w:hanging="357"/>
      </w:pPr>
      <w:r>
        <w:t>•</w:t>
        <w:tab/>
      </w:r>
      <w:r>
        <w:rPr>
          <w:b w:val="0"/>
          <w:i w:val="0"/>
        </w:rPr>
        <w:t>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20"/>
        <w:ind w:left="357" w:hanging="357"/>
      </w:pPr>
      <w:r>
        <w:t>•</w:t>
        <w:tab/>
      </w:r>
      <w:r>
        <w:rPr>
          <w:b w:val="0"/>
          <w:i w:val="0"/>
        </w:rPr>
        <w:t xml:space="preserve">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160"/>
      </w:pPr>
      <w:r>
        <w:rPr>
          <w:b w:val="0"/>
          <w:i/>
          <w:color w:val="1E6B2E"/>
          <w:sz w:val="16"/>
        </w:rPr>
        <w:t>Caractere: 1.181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20"/>
        <w:ind w:left="357" w:hanging="357"/>
      </w:pPr>
      <w:r>
        <w:t>•</w:t>
        <w:tab/>
      </w:r>
      <w:r>
        <w:rPr>
          <w:b w:val="0"/>
          <w:i w:val="0"/>
        </w:rPr>
        <w:t xml:space="preserve">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20"/>
        <w:ind w:left="357" w:hanging="357"/>
      </w:pPr>
      <w:r>
        <w:t>•</w:t>
        <w:tab/>
      </w:r>
      <w:r>
        <w:rPr>
          <w:b w:val="0"/>
          <w:i w:val="0"/>
        </w:rPr>
        <w:t>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20"/>
        <w:ind w:left="357" w:hanging="357"/>
      </w:pPr>
      <w:r>
        <w:t>•</w:t>
        <w:tab/>
      </w:r>
      <w:r>
        <w:rPr>
          <w:b w:val="0"/>
          <w:i w:val="0"/>
        </w:rPr>
        <w:t>evitarea reuniunilor suplimentare cu deplasare: aspectele curente au fost clarificate online sau telefonic, iar două dintre cele cinci întâlniri de management s-au desfășurat pe Zoom;</w:t>
      </w:r>
    </w:p>
    <w:p>
      <w:pPr>
        <w:spacing w:after="20"/>
        <w:ind w:left="357" w:hanging="357"/>
      </w:pPr>
      <w:r>
        <w:t>•</w:t>
        <w:tab/>
      </w:r>
      <w:r>
        <w:rPr>
          <w:b w:val="0"/>
          <w:i w:val="0"/>
        </w:rPr>
        <w:t xml:space="preserve">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20"/>
        <w:ind w:left="357" w:hanging="357"/>
      </w:pPr>
      <w:r>
        <w:t>•</w:t>
        <w:tab/>
      </w:r>
      <w:r>
        <w:rPr>
          <w:b w:val="0"/>
          <w:i w:val="0"/>
        </w:rPr>
        <w:t xml:space="preserve">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160"/>
      </w:pPr>
      <w:r>
        <w:rPr>
          <w:b w:val="0"/>
          <w:i/>
          <w:color w:val="1E6B2E"/>
          <w:sz w:val="16"/>
        </w:rPr>
        <w:t>Caractere: 1.797 / 10.500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nu generează efecte reziduale asupra mediului.</w:t>
      </w:r>
    </w:p>
    <w:p>
      <w:pPr>
        <w:spacing w:after="160"/>
      </w:pPr>
      <w:r>
        <w:rPr>
          <w:b w:val="0"/>
          <w:i/>
          <w:color w:val="1E6B2E"/>
          <w:sz w:val="16"/>
        </w:rPr>
        <w:t>Caractere: 130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În perioada de raportare iulie – septembrie 2026, proiectul a contribuit la cele două teme secundare FSE+ asumate în cererea de finanțare, în măsura în care activitățile cu grupul țintă au început în luna septembrie.</w:t>
      </w:r>
    </w:p>
    <w:p>
      <w:pPr>
        <w:jc w:val="both"/>
      </w:pPr>
      <w:r>
        <w:rPr>
          <w:b w:val="0"/>
          <w:i w:val="0"/>
        </w:rPr>
        <w:t>Pentru tema secundară 10, abordarea provocărilor identificate în cadrul semestrului european, proiectul răspunde recomandării privind reducerea părăsirii timpurii a școlii, în special în rândul elevilor din mediul rural și al elevilor romi. În această perioadă, Experții GT au identificat, împreună cu școlile partenere, 172 de elevi aflați în risc de abandon sau proveniți din medii defavorizate, dintre care 97 au intrat în operațiune și au început să beneficieze de măsurile proiectului: 17 elevi din clasele a X-a – a XI-a au participat la sprijinul psihologic, 35 de elevi din clasele a VII-a – a VIII-a la activitățile campaniei de informare și conștientizare și 45 de elevi din clasa a IX-a la programele remediale. În paralel, cele 4 cadre didactice din grupul țintă au parcurs programul de formare acreditat, astfel încât intervenția asupra abandonului școlar să fie susținută și din interiorul școlilor.</w:t>
      </w:r>
    </w:p>
    <w:p>
      <w:pPr>
        <w:jc w:val="both"/>
      </w:pPr>
      <w:r>
        <w:rPr>
          <w:b w:val="0"/>
          <w:i w:val="0"/>
        </w:rPr>
        <w:t>Pentru tema secundară 05, nediscriminarea, căreia îi este alocat un buget de 1.464.000,00 lei, contribuția din această perioadă a constat în modul în care a fost organizată selecția grupului țintă: metodologia publicată aplică criterii transparente și acordă prioritate elevilor de etnie romă și elevilor cu dizabilități, recrutarea a vizat elevi din grupuri vulnerabile și din localități mici, iar familiile cu dificultăți au fost sprijinite direct de experți pentru a nu rămâne în afara proiectului. Măsurile directe care dau conținut financiar acestei teme, sprijinul financiar pentru cazare, masă și transport și masa caldă pentru participanții la programele remediale, nu au generat cheltuieli în perioada de raportare, întrucât acordarea lor începe după validarea grupului țintă și, respectiv, după contractarea serviciilor de masă caldă, în perioada următoare.</w:t>
      </w:r>
    </w:p>
    <w:p>
      <w:pPr>
        <w:jc w:val="both"/>
      </w:pPr>
      <w:r>
        <w:rPr>
          <w:b w:val="0"/>
          <w:i w:val="0"/>
        </w:rPr>
        <w:t>Integrarea perspectivei de gen a fost asigurată prin modul în care consilierea și activitățile de informare au tratat alegerea traseului educațional și profesional, fără stereotipuri de gen, așa cum este detaliat la punctul 15.1.1.</w:t>
      </w:r>
    </w:p>
    <w:p>
      <w:pPr>
        <w:spacing w:after="160"/>
      </w:pPr>
      <w:r>
        <w:rPr>
          <w:b w:val="0"/>
          <w:i/>
          <w:color w:val="1E6B2E"/>
          <w:sz w:val="16"/>
        </w:rPr>
        <w:t>Caractere: 2.230 / 10.500 (21%)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