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74" w:top="2608" w:left="850" w:right="850" w:header="454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655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655"/>
      <w:tblGridChange w:id="0">
        <w:tblGrid>
          <w:gridCol w:w="165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9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943200" cy="387000"/>
                <wp:effectExtent b="0" l="0" r="0" t="0"/>
                <wp:docPr descr="gal" id="4" name="image4.png"/>
                <a:graphic>
                  <a:graphicData uri="http://schemas.openxmlformats.org/drawingml/2006/picture">
                    <pic:pic>
                      <pic:nvPicPr>
                        <pic:cNvPr descr="gal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3200" cy="387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1020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5404"/>
      <w:gridCol w:w="2985"/>
      <w:gridCol w:w="1816"/>
      <w:tblGridChange w:id="0">
        <w:tblGrid>
          <w:gridCol w:w="5404"/>
          <w:gridCol w:w="2985"/>
          <w:gridCol w:w="181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3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2235600" cy="510480"/>
                <wp:effectExtent b="0" l="0" r="0" t="0"/>
                <wp:docPr descr="eu" id="1" name="image1.png"/>
                <a:graphic>
                  <a:graphicData uri="http://schemas.openxmlformats.org/drawingml/2006/picture">
                    <pic:pic>
                      <pic:nvPicPr>
                        <pic:cNvPr descr="eu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600" cy="5104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4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699480" cy="699480"/>
                <wp:effectExtent b="0" l="0" r="0" t="0"/>
                <wp:docPr descr="gov" id="3" name="image3.png"/>
                <a:graphic>
                  <a:graphicData uri="http://schemas.openxmlformats.org/drawingml/2006/picture">
                    <pic:pic>
                      <pic:nvPicPr>
                        <pic:cNvPr descr="gov"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80" cy="6994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5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1045440" cy="387000"/>
                <wp:effectExtent b="0" l="0" r="0" t="0"/>
                <wp:docPr descr="unic_peo" id="2" name="image2.png"/>
                <a:graphic>
                  <a:graphicData uri="http://schemas.openxmlformats.org/drawingml/2006/picture">
                    <pic:pic>
                      <pic:nvPicPr>
                        <pic:cNvPr descr="unic_peo" id="0" name="image2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440" cy="387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6">
    <w:pPr>
      <w:spacing w:after="0" w:before="227" w:line="25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e1e1e"/>
        <w:sz w:val="17"/>
        <w:szCs w:val="17"/>
        <w:rtl w:val="0"/>
      </w:rPr>
      <w:t xml:space="preserve">Titlul proiectului: </w:t>
    </w:r>
    <w:r w:rsidDel="00000000" w:rsidR="00000000" w:rsidRPr="00000000">
      <w:rPr>
        <w:rFonts w:ascii="Arial" w:cs="Arial" w:eastAsia="Arial" w:hAnsi="Arial"/>
        <w:color w:val="1e1e1e"/>
        <w:sz w:val="17"/>
        <w:szCs w:val="17"/>
        <w:rtl w:val="0"/>
      </w:rPr>
      <w:t xml:space="preserve">UNIC - Uniți pentru Nevoile Incluzive și Continuitatea Educației Elevilor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spacing w:after="0" w:before="0" w:line="250" w:lineRule="auto"/>
      <w:rPr/>
    </w:pPr>
    <w:r w:rsidDel="00000000" w:rsidR="00000000" w:rsidRPr="00000000">
      <w:rPr>
        <w:rFonts w:ascii="Arial" w:cs="Arial" w:eastAsia="Arial" w:hAnsi="Arial"/>
        <w:color w:val="1e1e1e"/>
        <w:sz w:val="17"/>
        <w:szCs w:val="17"/>
        <w:rtl w:val="0"/>
      </w:rPr>
      <w:t xml:space="preserve">Proiect cofinanțat din Fondul Social European Plus prin Programul Educație și Ocupare 2021-2027 | Cod MySMIS 352704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