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27</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 21 participants aged 14–17 + 4 group leaders + 2 facilitators, in three national groups of seven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30,494.00</w:t>
            </w:r>
          </w:p>
        </w:tc>
        <w:tc>
          <w:tcPr>
            <w:tcW w:type="dxa" w:w="5669"/>
          </w:tcPr>
          <w:p>
            <w:pPr>
              <w:spacing w:before="40" w:after="40"/>
            </w:pPr>
            <w:r/>
            <w:r>
              <w:rPr>
                <w:b w:val="0"/>
                <w:i w:val="0"/>
                <w:sz w:val="19"/>
              </w:rPr>
              <w:t>Of which 27,094.00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27</w:t>
            </w:r>
          </w:p>
        </w:tc>
        <w:tc>
          <w:tcPr>
            <w:tcW w:type="dxa" w:w="1361"/>
          </w:tcPr>
          <w:p>
            <w:pPr>
              <w:spacing w:before="40" w:after="40"/>
            </w:pPr>
            <w:r/>
            <w:r>
              <w:rPr>
                <w:b/>
                <w:i w:val="0"/>
                <w:sz w:val="19"/>
              </w:rPr>
              <w:t>27,094.00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(3,400.00 EUR) sits at project level, not inside the activity, which is why the project total is 30,494.00 and the activity grant 27,094.00.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5,458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through our own channels and through local media. For each one we know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and we use the community events our association holds every year. What they see is the public presentation the participants give on Day 7 in Beliș, and a “Digital Detectives” stand at two of our community events. The target is two community events, and the communication officer owns it.</w:t>
      </w:r>
    </w:p>
    <w:p>
      <w:pPr>
        <w:jc w:val="both"/>
      </w:pPr>
      <w:r>
        <w:rPr>
          <w:b w:val="0"/>
          <w:i w:val="0"/>
        </w:rPr>
        <w:t>Parents and guardians are a special case: not a target group of the project, but the people who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website and newsletter, GGD’s volunteer network, and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Everything we do goes out on the three organisations’ own channels, and we agreed the rhythm in advance. Each partner posts on its own social media and on its own website — LAG Napoca Porolissum in Romanian and Hungarian, GGD in Turkish, KEA in Greek — and each also posts in English so the other two can share it. Something goes up at seven moments: the launch of the call in month 1, the selected group in month 2, the preparation sessions in months 3 and 4, the days of the exchange in August, the Day 7 presentation, each of the four local initiatives, and the toolkit in month 17. The material comes from the participants themselves, through the photo, video and diary roles they hold from month 3. Each organisation names one person responsible for its own channels in the partnership agreement, and we commit to at least 15 posts per organisation across the 18 months plus sharing each other’s. Three organisations posting to three countries is the cheapest reach we have.</w:t>
      </w:r>
    </w:p>
    <w:p>
      <w:pPr>
        <w:jc w:val="both"/>
      </w:pPr>
      <w:r>
        <w:rPr>
          <w:b w:val="0"/>
          <w:i w:val="0"/>
        </w:rPr>
        <w:t>We also cooperate with local media in all three countries, and we go to them with something to look at rather than with a press release about a grant. In Romania the contact already exists: we work with the county and local press every year at our community events and the festival in Beliș. We send a release in Romanian shortly before the exchange and immediately after the Day 7 presentation, and we invite journalists to Beliș for the presentation itself, where the participants do the talking and the staff do not. KEA sends the same material in Greek through the more than 80 regional media outlets it already reaches across the South Aegean, and GGD does the same in Turkish through its own local contacts. What we offer is a story a local newsroom can use: young people from their own area taking apart a rumour that circulated there. Our target is at least six items in local or regional media across the three countries, three of them in Romania, and the communication officer keeps the record. If a journalist wants to speak to a participant, the rule is the same as everywhere else: written parental consent first and the group leader present.</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is and what stays open to them afterwards — the European Solidarity Corps, DiscoverEU, other exchanges — so this project is not the last time they hear the word.</w:t>
      </w:r>
    </w:p>
    <w:p>
      <w:pPr>
        <w:spacing w:after="200"/>
      </w:pPr>
      <w:r>
        <w:rPr>
          <w:b w:val="0"/>
          <w:i/>
          <w:color w:val="5A5A5A"/>
          <w:sz w:val="16"/>
        </w:rPr>
        <w:t>≈ 4,993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write the posts themselves. We do not draft something and ask them to approve it: the text, the photographs, the short videos and the captions are theirs, in their own language and in their own register, and an adult checks only what the safeguarding rule requires before anything goes out. During the mobility this runs by rotation. Each national group takes the content desk for a set of days and is responsible for everything published that day on all three organisations’ channels — the Romanian group on Days 1 and 4, the Turkish group on Days 2 and 5, the Greek group on Days 3 and 6, and all three together on Day 7, when the public presentation happens. Each group therefore produces content at least twice, nobody carries it for the whole week, and the three of them get to see how differently the same day can be told depending on who is telling it. This is a separate job from the mixed host team that runs each day, so the two do not compete for the same people.</w:t>
      </w:r>
    </w:p>
    <w:p>
      <w:pPr>
        <w:jc w:val="both"/>
      </w:pPr>
      <w:r>
        <w:rPr>
          <w:b w:val="0"/>
          <w:i w:val="0"/>
        </w:rPr>
        <w:t>The roles behind it are assigned in month 3, before anyone travels: photo and video, the activity diary, contact with the host community, energisers, timekeeping. Afterwards the participants make the four media products, design and lead the four local initiatives — choosing the date, the place, the audience and who does what — present in public on Day 7 to guests from Beliș, the neighbouring communes and the local press, where the adults speak only if someone asks them a question, and present the results again across the localities of the territory in months 16 and 17.</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1,982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