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val="0"/>
                <w:i w:val="0"/>
                <w:sz w:val="19"/>
              </w:rPr>
              <w:t>Preparatory visits</w:t>
            </w:r>
          </w:p>
        </w:tc>
        <w:tc>
          <w:tcPr>
            <w:tcW w:type="dxa" w:w="2041"/>
          </w:tcPr>
          <w:p>
            <w:pPr>
              <w:spacing w:before="40" w:after="40"/>
            </w:pPr>
            <w:r/>
            <w:r>
              <w:rPr>
                <w:b w:val="0"/>
                <w:i w:val="0"/>
                <w:sz w:val="19"/>
              </w:rPr>
              <w:t>1</w:t>
            </w:r>
          </w:p>
        </w:tc>
        <w:tc>
          <w:tcPr>
            <w:tcW w:type="dxa" w:w="2041"/>
          </w:tcPr>
          <w:p>
            <w:pPr>
              <w:spacing w:before="40" w:after="40"/>
            </w:pPr>
            <w:r/>
            <w:r>
              <w:rPr>
                <w:b w:val="0"/>
                <w:i w:val="0"/>
                <w:sz w:val="19"/>
              </w:rPr>
              <w:t>6</w:t>
            </w:r>
          </w:p>
        </w:tc>
        <w:tc>
          <w:tcPr>
            <w:tcW w:type="dxa" w:w="2494"/>
          </w:tcPr>
          <w:p>
            <w:pPr>
              <w:spacing w:before="40" w:after="40"/>
            </w:pPr>
            <w:r/>
            <w:r>
              <w:rPr>
                <w:b w:val="0"/>
                <w:i w:val="0"/>
                <w:sz w:val="19"/>
              </w:rPr>
              <w:t>0</w:t>
            </w:r>
          </w:p>
        </w:tc>
      </w:tr>
      <w:tr>
        <w:tc>
          <w:tcPr>
            <w:tcW w:type="dxa" w:w="2835"/>
          </w:tcPr>
          <w:p>
            <w:pPr>
              <w:spacing w:before="40" w:after="40"/>
            </w:pPr>
            <w:r/>
            <w:r>
              <w:rPr>
                <w:b/>
                <w:i w:val="0"/>
                <w:sz w:val="19"/>
              </w:rPr>
              <w:t>Total</w:t>
            </w:r>
          </w:p>
        </w:tc>
        <w:tc>
          <w:tcPr>
            <w:tcW w:type="dxa" w:w="2041"/>
          </w:tcPr>
          <w:p>
            <w:pPr>
              <w:spacing w:before="40" w:after="40"/>
            </w:pPr>
            <w:r/>
            <w:r>
              <w:rPr>
                <w:b/>
                <w:i w:val="0"/>
                <w:sz w:val="19"/>
              </w:rPr>
              <w:t>2</w:t>
            </w:r>
          </w:p>
        </w:tc>
        <w:tc>
          <w:tcPr>
            <w:tcW w:type="dxa" w:w="2041"/>
          </w:tcPr>
          <w:p>
            <w:pPr>
              <w:spacing w:before="40" w:after="40"/>
            </w:pPr>
            <w:r/>
            <w:r>
              <w:rPr>
                <w:b/>
                <w:i w:val="0"/>
                <w:sz w:val="19"/>
              </w:rPr>
              <w:t>33</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in Activity 01 = 21 participants aged 14–17 + 4 group leaders + 2 facilitators, in three national groups of seven from Romania, Türkiye and Greece. The 6 persons of PREPV02 are the preparatory visit: two from each organisation. Four of them are already among those 27 — two group leaders, one facilitator and two of the participants — so 33 persons means 28 distinct people. The form counts no participants with fewer opportunities on a preparatory visit, although both young people who travel are drawn from that group.</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4,080.00</w:t>
            </w:r>
          </w:p>
        </w:tc>
        <w:tc>
          <w:tcPr>
            <w:tcW w:type="dxa" w:w="5669"/>
          </w:tcPr>
          <w:p>
            <w:pPr>
              <w:spacing w:before="40" w:after="40"/>
            </w:pPr>
            <w:r/>
            <w:r>
              <w:rPr>
                <w:b w:val="0"/>
                <w:i w:val="0"/>
                <w:sz w:val="19"/>
              </w:rPr>
              <w:t>680 × 6 persons: 2 from each of the three organisations, one of the two from each sending partner being a young person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31,174.00</w:t>
            </w:r>
          </w:p>
        </w:tc>
        <w:tc>
          <w:tcPr>
            <w:tcW w:type="dxa" w:w="5669"/>
          </w:tcPr>
          <w:p>
            <w:pPr>
              <w:spacing w:before="40" w:after="40"/>
            </w:pPr>
            <w:r/>
            <w:r>
              <w:rPr>
                <w:b w:val="0"/>
                <w:i w:val="0"/>
                <w:sz w:val="19"/>
              </w:rPr>
              <w:t>Of which 27,094.00 is the Activity YEXMS01 grant and 4,080.00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p>
      <w:pPr>
        <w:pStyle w:val="Heading3"/>
      </w:pPr>
      <w:r>
        <w:t>Past participation — applicant organisation</w:t>
      </w:r>
    </w:p>
    <w:p>
      <w:pPr>
        <w:spacing w:after="160"/>
      </w:pPr>
      <w:r>
        <w:rPr>
          <w:b w:val="0"/>
          <w:i/>
          <w:color w:val="5A5A5A"/>
          <w:sz w:val="17"/>
        </w:rPr>
        <w:t>The table itself is filled in automatically by the form. The field below is the free-text comment that follows 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Would you like to make any comments or add any information to the summary of your organisation’s past participation?</w:t>
            </w:r>
          </w:p>
        </w:tc>
      </w:tr>
    </w:tbl>
    <w:p>
      <w:pPr>
        <w:spacing w:after="0"/>
      </w:pPr>
    </w:p>
    <w:p>
      <w:pPr>
        <w:jc w:val="both"/>
      </w:pPr>
      <w:r>
        <w:rPr>
          <w:b w:val="0"/>
          <w:i w:val="0"/>
        </w:rPr>
        <w:t>Three things in the table are worth a sentence, because the figures on their own would mislead in both directions.</w:t>
      </w:r>
    </w:p>
    <w:p>
      <w:pPr>
        <w:jc w:val="both"/>
      </w:pPr>
      <w:r>
        <w:rPr>
          <w:b w:val="0"/>
          <w:i w:val="0"/>
        </w:rPr>
        <w:t xml:space="preserve">The first is the line for Mobility of young people. </w:t>
      </w:r>
      <w:r>
        <w:rPr>
          <w:b/>
          <w:i w:val="0"/>
        </w:rPr>
        <w:t>This is our first application to KA152 as the applicant organisation.</w:t>
      </w:r>
      <w:r>
        <w:rPr>
          <w:b w:val="0"/>
          <w:i w:val="0"/>
        </w:rPr>
        <w:t xml:space="preserve"> We have been named as a partner in five KA152 applications submitted by other organisations and none of them was selected. We have read the expert assessment of one of those applications, and one of its criticisms shaped this one directly: that the proposal did not set out measures for the safety of the accommodation and of the spaces where the activities take place. The written venue risk assessment, verified on site during the preparatory visit before the venue is contracted, is the answer to that, and it is why the preparatory visit is requested at all. Applying as the hosting organisation is a deliberate step rather than an accident of who was available: hosting means owning the venue, the safety of twenty-one minors, the learning programme and the relationship with the host community, and those are the four things we have and a sending partner does not.</w:t>
      </w:r>
    </w:p>
    <w:p>
      <w:pPr>
        <w:jc w:val="both"/>
      </w:pPr>
      <w:r>
        <w:rPr>
          <w:b w:val="0"/>
          <w:i w:val="0"/>
        </w:rPr>
        <w:t>The second is the overall shape of the record. As applicant we have submitted 24 applications and had 3 selected. As a partner we appear in 67 applications, of which 12 were selected. The partner figure has to be read with care: those applications are written and submitted by other organisations that name us, and while we contribute a needs analysis, a territory and a mandate, we control neither how many are sent nor how strong they are. The applicant figure is the one that describes us, and it is the one we would rather be judged on.</w:t>
      </w:r>
    </w:p>
    <w:p>
      <w:pPr>
        <w:jc w:val="both"/>
      </w:pPr>
      <w:r>
        <w:rPr>
          <w:b w:val="0"/>
          <w:i w:val="0"/>
        </w:rPr>
        <w:t xml:space="preserve">Within the youth field the record is real rather than incidental. Across the youth actions we appear in 33 applications with 7 selected. The one we built ourselves is </w:t>
      </w:r>
      <w:r>
        <w:rPr>
          <w:b/>
          <w:i w:val="0"/>
        </w:rPr>
        <w:t>Rural Youth Parliament — tool for youth involvement in local communities (2021-1-RO01-KA220-YOU-000029265)</w:t>
      </w:r>
      <w:r>
        <w:rPr>
          <w:b w:val="0"/>
          <w:i w:val="0"/>
        </w:rPr>
        <w:t xml:space="preserve">, which we coordinated and which produced the informal group of young people and youth workers that still meets, still runs its own campaigns and still staffs our events four years later — the clearest evidence we can offer that what we start does not stop when the funding does. Among the granted projects where we are a partner are </w:t>
      </w:r>
      <w:r>
        <w:rPr>
          <w:b/>
          <w:i w:val="0"/>
        </w:rPr>
        <w:t>CONNECT-R (KA154, 2025)</w:t>
      </w:r>
      <w:r>
        <w:rPr>
          <w:b w:val="0"/>
          <w:i w:val="0"/>
        </w:rPr>
        <w:t xml:space="preserve"> on rural youth participation, a KA153 youth-worker mobility, and a small-scale partnership in youth.</w:t>
      </w:r>
    </w:p>
    <w:p>
      <w:pPr>
        <w:jc w:val="both"/>
      </w:pPr>
      <w:r>
        <w:rPr>
          <w:b w:val="0"/>
          <w:i w:val="0"/>
        </w:rPr>
        <w:t xml:space="preserve">The third is what the table cannot show, because it covers only the actions managed by the National Agencies. We are currently the </w:t>
      </w:r>
      <w:r>
        <w:rPr>
          <w:b/>
          <w:i w:val="0"/>
        </w:rPr>
        <w:t>coordinator of EMPOWER+ — Empowering Rural Youth: Establishing and Strengthening the Rural Youth Parliament in Sub-Saharan Africa</w:t>
      </w:r>
      <w:r>
        <w:rPr>
          <w:b w:val="0"/>
          <w:i w:val="0"/>
        </w:rPr>
        <w:t xml:space="preserve"> (proposal 101243075, ERASMUS-YOUTH-2025-CB-SSA), a Capacity Building project in the field of youth managed centrally by EACEA, in which we lead nine organisations across seven countries. It is the largest youth responsibility we have taken on, it is built on the same Rural Youth Parliament model, and it appears nowhere in the table above. Neither does the </w:t>
      </w:r>
      <w:r>
        <w:rPr>
          <w:b/>
          <w:i w:val="0"/>
        </w:rPr>
        <w:t>Youth Department</w:t>
      </w:r>
      <w:r>
        <w:rPr>
          <w:b w:val="0"/>
          <w:i w:val="0"/>
        </w:rPr>
        <w:t xml:space="preserve"> our General Assembly established on 17 October 2023, with its coordinator appointed by the vote of the mayors of our 14 communes — the structure that makes this application something the organisation runs rather than something it attempts.</w:t>
      </w:r>
    </w:p>
    <w:p>
      <w:pPr>
        <w:jc w:val="both"/>
      </w:pPr>
      <w:r>
        <w:rPr>
          <w:b w:val="0"/>
          <w:i w:val="0"/>
        </w:rPr>
        <w:t xml:space="preserve">One more line deserves an explanation rather than silence. We applied once for </w:t>
      </w:r>
      <w:r>
        <w:rPr>
          <w:b/>
          <w:i w:val="0"/>
        </w:rPr>
        <w:t>accreditation in youth (KA150-YOU)</w:t>
      </w:r>
      <w:r>
        <w:rPr>
          <w:b w:val="0"/>
          <w:i w:val="0"/>
        </w:rPr>
        <w:t xml:space="preserve"> and were not successful. We drew the obvious conclusion: show what we can do in one well-evidenced project, with instruments that can record failure as well as success, before asking to be accredited for a programme of them. This is that project.</w:t>
      </w:r>
    </w:p>
    <w:p>
      <w:pPr>
        <w:spacing w:after="200"/>
      </w:pPr>
      <w:r>
        <w:rPr>
          <w:b w:val="0"/>
          <w:i/>
          <w:color w:val="5A5A5A"/>
          <w:sz w:val="16"/>
        </w:rPr>
        <w:t>≈ 3,618 characters (assumed form limit 5,000 — within limit)</w:t>
      </w:r>
    </w:p>
    <w:p>
      <w:pPr>
        <w:spacing w:before="40" w:after="120"/>
        <w:ind w:left="227"/>
      </w:pPr>
      <w:r>
        <w:rPr>
          <w:b w:val="0"/>
          <w:i w:val="0"/>
          <w:color w:val="9B1C1C"/>
          <w:sz w:val="18"/>
        </w:rPr>
        <w:t>[TO CONFIRM before submission: that the expert assessment referred to above belongs to an application in which the association was a partner rather than the applicant. The table records 0 KA152 applications as applicant; if an application was in fact submitted as applicant in an earlier 2026 round and is simply not yet reflected in the table, then the sentence above should say “as applicant” instead. This is now the only place in the application where that assessment is mentioned.]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YEXMS01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r>
              <w:rPr>
                <w:b w:val="0"/>
                <w:i w:val="0"/>
                <w:sz w:val="19"/>
              </w:rPr>
              <w:t>PREPV02</w:t>
            </w:r>
          </w:p>
        </w:tc>
        <w:tc>
          <w:tcPr>
            <w:tcW w:type="dxa" w:w="1474"/>
          </w:tcPr>
          <w:p>
            <w:pPr>
              <w:spacing w:before="40" w:after="40"/>
            </w:pPr>
            <w:r/>
            <w:r>
              <w:rPr>
                <w:b w:val="0"/>
                <w:i w:val="0"/>
                <w:sz w:val="19"/>
              </w:rPr>
              <w:t>Preparatory visits</w:t>
            </w:r>
          </w:p>
        </w:tc>
        <w:tc>
          <w:tcPr>
            <w:tcW w:type="dxa" w:w="3402"/>
          </w:tcPr>
          <w:p>
            <w:pPr>
              <w:spacing w:before="40" w:after="40"/>
            </w:pPr>
            <w:r/>
            <w:r>
              <w:rPr>
                <w:b w:val="0"/>
                <w:i w:val="0"/>
                <w:sz w:val="19"/>
              </w:rPr>
              <w:t>Preparatory visit to Beliș, related to YEXMS01</w:t>
            </w:r>
          </w:p>
        </w:tc>
        <w:tc>
          <w:tcPr>
            <w:tcW w:type="dxa" w:w="1361"/>
          </w:tcPr>
          <w:p>
            <w:pPr>
              <w:spacing w:before="40" w:after="40"/>
            </w:pPr>
            <w:r/>
            <w:r>
              <w:rPr>
                <w:b w:val="0"/>
                <w:i w:val="0"/>
                <w:sz w:val="19"/>
              </w:rPr>
              <w:t>—</w:t>
            </w:r>
          </w:p>
        </w:tc>
        <w:tc>
          <w:tcPr>
            <w:tcW w:type="dxa" w:w="1134"/>
          </w:tcPr>
          <w:p>
            <w:pPr>
              <w:spacing w:before="40" w:after="40"/>
            </w:pPr>
            <w:r/>
            <w:r>
              <w:rPr>
                <w:b w:val="0"/>
                <w:i w:val="0"/>
                <w:sz w:val="19"/>
              </w:rPr>
              <w:t>6</w:t>
            </w:r>
          </w:p>
        </w:tc>
        <w:tc>
          <w:tcPr>
            <w:tcW w:type="dxa" w:w="1361"/>
          </w:tcPr>
          <w:p>
            <w:pPr>
              <w:spacing w:before="40" w:after="40"/>
            </w:pPr>
            <w:r/>
            <w:r>
              <w:rPr>
                <w:b w:val="0"/>
                <w:i w:val="0"/>
                <w:sz w:val="19"/>
              </w:rPr>
              <w:t>4,080.00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33</w:t>
            </w:r>
          </w:p>
        </w:tc>
        <w:tc>
          <w:tcPr>
            <w:tcW w:type="dxa" w:w="1361"/>
          </w:tcPr>
          <w:p>
            <w:pPr>
              <w:spacing w:before="40" w:after="40"/>
            </w:pPr>
            <w:r/>
            <w:r>
              <w:rPr>
                <w:b/>
                <w:i w:val="0"/>
                <w:sz w:val="19"/>
              </w:rPr>
              <w:t>31,174.00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does not appear in the two tables above on purpose: its 4,080.00 EUR is reported by the form as its own activity, PREPV02, rather than inside the exchange grant. That is why the exchange grant is 27,094.00 while the project total is 31,174.00.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project manager and the activity coordinator then verify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4,433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Activity PREPV02 — Preparatory visit</w:t>
      </w:r>
    </w:p>
    <w:p>
      <w:pPr>
        <w:spacing w:after="160"/>
      </w:pPr>
      <w:r>
        <w:rPr>
          <w:b w:val="0"/>
          <w:i/>
          <w:color w:val="5A5A5A"/>
          <w:sz w:val="17"/>
        </w:rPr>
        <w:t>Field names and figures below follow the live form (Activity PREPV02: Beliș, 09/06/2027 – 11/06/2027, six persons, 4,080.00 EUR).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PREPV02</w:t>
            </w:r>
          </w:p>
        </w:tc>
        <w:tc>
          <w:tcPr>
            <w:tcW w:type="dxa" w:w="2041"/>
          </w:tcPr>
          <w:p>
            <w:pPr>
              <w:spacing w:before="40" w:after="40"/>
            </w:pPr>
            <w:r/>
            <w:r>
              <w:rPr>
                <w:b w:val="0"/>
                <w:i w:val="0"/>
                <w:sz w:val="19"/>
              </w:rPr>
              <w:t>Related to activity</w:t>
            </w:r>
          </w:p>
        </w:tc>
        <w:tc>
          <w:tcPr>
            <w:tcW w:type="dxa" w:w="2665"/>
          </w:tcPr>
          <w:p>
            <w:pPr>
              <w:spacing w:before="40" w:after="40"/>
            </w:pPr>
            <w:r/>
            <w:r>
              <w:rPr>
                <w:b w:val="0"/>
                <w:i w:val="0"/>
                <w:sz w:val="19"/>
              </w:rPr>
              <w:t>YEXMS01 — VERIFAI: Young Detectives Against Digital Disinformation</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Preparatory visits</w:t>
            </w:r>
          </w:p>
        </w:tc>
        <w:tc>
          <w:tcPr>
            <w:tcW w:type="dxa" w:w="2041"/>
          </w:tcPr>
          <w:p>
            <w:pPr>
              <w:spacing w:before="40" w:after="40"/>
            </w:pPr>
            <w:r/>
            <w:r>
              <w:rPr>
                <w:b w:val="0"/>
                <w:i w:val="0"/>
                <w:sz w:val="19"/>
              </w:rPr>
              <w:t>Organiser of the preparatory visit</w:t>
            </w:r>
          </w:p>
        </w:tc>
        <w:tc>
          <w:tcPr>
            <w:tcW w:type="dxa" w:w="2665"/>
          </w:tcPr>
          <w:p>
            <w:pPr>
              <w:spacing w:before="40" w:after="40"/>
            </w:pPr>
            <w:r/>
            <w:r>
              <w:rPr>
                <w:b w:val="0"/>
                <w:i w:val="0"/>
                <w:sz w:val="19"/>
              </w:rPr>
              <w:t>ASOCIAȚIA GRUPUL DE ACȚIUNE LOCALĂ NAPOCA POROLISSUM</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09/06/2027</w:t>
            </w:r>
          </w:p>
        </w:tc>
        <w:tc>
          <w:tcPr>
            <w:tcW w:type="dxa" w:w="2041"/>
          </w:tcPr>
          <w:p>
            <w:pPr>
              <w:spacing w:before="40" w:after="40"/>
            </w:pPr>
            <w:r/>
            <w:r>
              <w:rPr>
                <w:b w:val="0"/>
                <w:i w:val="0"/>
                <w:sz w:val="19"/>
              </w:rPr>
              <w:t>End date</w:t>
            </w:r>
          </w:p>
        </w:tc>
        <w:tc>
          <w:tcPr>
            <w:tcW w:type="dxa" w:w="2665"/>
          </w:tcPr>
          <w:p>
            <w:pPr>
              <w:spacing w:before="40" w:after="40"/>
            </w:pPr>
            <w:r/>
            <w:r>
              <w:rPr>
                <w:b w:val="0"/>
                <w:i w:val="0"/>
                <w:sz w:val="19"/>
              </w:rPr>
              <w:t>11/06/2027</w:t>
            </w:r>
          </w:p>
        </w:tc>
      </w:tr>
      <w:tr>
        <w:tc>
          <w:tcPr>
            <w:tcW w:type="dxa" w:w="2041"/>
          </w:tcPr>
          <w:p>
            <w:pPr>
              <w:spacing w:before="40" w:after="40"/>
            </w:pPr>
            <w:r/>
            <w:r>
              <w:rPr>
                <w:b w:val="0"/>
                <w:i w:val="0"/>
                <w:sz w:val="19"/>
              </w:rPr>
              <w:t>Venue of the activity</w:t>
            </w:r>
          </w:p>
        </w:tc>
        <w:tc>
          <w:tcPr>
            <w:tcW w:type="dxa" w:w="2665"/>
          </w:tcPr>
          <w:p>
            <w:pPr>
              <w:spacing w:before="40" w:after="40"/>
            </w:pPr>
            <w:r/>
            <w:r>
              <w:rPr>
                <w:b w:val="0"/>
                <w:i w:val="0"/>
                <w:sz w:val="19"/>
              </w:rPr>
              <w:t>Romania — Beliș, Cluj County</w:t>
            </w:r>
          </w:p>
        </w:tc>
        <w:tc>
          <w:tcPr>
            <w:tcW w:type="dxa" w:w="2041"/>
          </w:tcPr>
          <w:p>
            <w:pPr>
              <w:spacing w:before="40" w:after="40"/>
            </w:pPr>
            <w:r/>
            <w:r>
              <w:rPr>
                <w:b w:val="0"/>
                <w:i w:val="0"/>
                <w:sz w:val="19"/>
              </w:rPr>
              <w:t>Duration</w:t>
            </w:r>
          </w:p>
        </w:tc>
        <w:tc>
          <w:tcPr>
            <w:tcW w:type="dxa" w:w="2665"/>
          </w:tcPr>
          <w:p>
            <w:pPr>
              <w:spacing w:before="40" w:after="40"/>
            </w:pPr>
            <w:r/>
            <w:r>
              <w:rPr>
                <w:b w:val="0"/>
                <w:i w:val="0"/>
                <w:sz w:val="19"/>
              </w:rPr>
              <w:t>3 days, in month 3 of the project</w:t>
            </w:r>
          </w:p>
        </w:tc>
      </w:tr>
      <w:tr>
        <w:tc>
          <w:tcPr>
            <w:tcW w:type="dxa" w:w="2041"/>
          </w:tcPr>
          <w:p>
            <w:pPr>
              <w:spacing w:before="40" w:after="40"/>
            </w:pPr>
            <w:r/>
            <w:r>
              <w:rPr>
                <w:b w:val="0"/>
                <w:i w:val="0"/>
                <w:sz w:val="19"/>
              </w:rPr>
              <w:t>Number of persons</w:t>
            </w:r>
          </w:p>
        </w:tc>
        <w:tc>
          <w:tcPr>
            <w:tcW w:type="dxa" w:w="2665"/>
          </w:tcPr>
          <w:p>
            <w:pPr>
              <w:spacing w:before="40" w:after="40"/>
            </w:pPr>
            <w:r/>
            <w:r>
              <w:rPr>
                <w:b w:val="0"/>
                <w:i w:val="0"/>
                <w:sz w:val="19"/>
              </w:rPr>
              <w:t>6 — two from each of the three organisations</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1 — the facilitator designated by GGD, on the Turkish flow</w:t>
            </w:r>
          </w:p>
        </w:tc>
      </w:tr>
      <w:tr>
        <w:tc>
          <w:tcPr>
            <w:tcW w:type="dxa" w:w="2041"/>
          </w:tcPr>
          <w:p>
            <w:pPr>
              <w:spacing w:before="40" w:after="40"/>
            </w:pPr>
            <w:r/>
            <w:r>
              <w:rPr>
                <w:b w:val="0"/>
                <w:i w:val="0"/>
                <w:sz w:val="19"/>
              </w:rPr>
              <w:t>Total activity grant</w:t>
            </w:r>
          </w:p>
        </w:tc>
        <w:tc>
          <w:tcPr>
            <w:tcW w:type="dxa" w:w="2665"/>
          </w:tcPr>
          <w:p>
            <w:pPr>
              <w:spacing w:before="40" w:after="40"/>
            </w:pPr>
            <w:r/>
            <w:r>
              <w:rPr>
                <w:b/>
                <w:i w:val="0"/>
                <w:sz w:val="19"/>
              </w:rPr>
              <w:t>4,080.00 EUR</w:t>
            </w:r>
            <w:r>
              <w:rPr>
                <w:b w:val="0"/>
                <w:i w:val="0"/>
                <w:sz w:val="19"/>
              </w:rPr>
              <w:t xml:space="preserve"> (680 × 6)</w:t>
            </w:r>
          </w:p>
        </w:tc>
        <w:tc>
          <w:tcPr>
            <w:tcW w:type="dxa" w:w="2041"/>
          </w:tcPr>
          <w:p>
            <w:pPr>
              <w:spacing w:before="40" w:after="40"/>
            </w:pPr>
            <w:r/>
            <w:r>
              <w:rPr>
                <w:b w:val="0"/>
                <w:i w:val="0"/>
                <w:sz w:val="19"/>
              </w:rPr>
              <w:t>Flows</w:t>
            </w:r>
          </w:p>
        </w:tc>
        <w:tc>
          <w:tcPr>
            <w:tcW w:type="dxa" w:w="2665"/>
          </w:tcPr>
          <w:p>
            <w:pPr>
              <w:spacing w:before="40" w:after="40"/>
            </w:pPr>
            <w:r/>
            <w:r>
              <w:rPr>
                <w:b w:val="0"/>
                <w:i w:val="0"/>
                <w:sz w:val="19"/>
              </w:rPr>
              <w:t>3 × 2 persons: Romania (organiser), Türkiye, Greece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who will take part in the Preparatory Visit.</w:t>
            </w:r>
          </w:p>
        </w:tc>
      </w:tr>
    </w:tbl>
    <w:p>
      <w:pPr>
        <w:spacing w:after="0"/>
      </w:pPr>
    </w:p>
    <w:p>
      <w:pPr>
        <w:jc w:val="both"/>
      </w:pPr>
      <w:r>
        <w:rPr>
          <w:b w:val="0"/>
          <w:i w:val="0"/>
        </w:rPr>
        <w:t>Six people travel or take part on site, two from each of the three organisations. We chose them by one rule: whoever has to sign something, facilitate something or reassure somebody in August should have stood in the building first.</w:t>
      </w:r>
    </w:p>
    <w:p>
      <w:pPr>
        <w:jc w:val="both"/>
      </w:pPr>
      <w:r>
        <w:rPr>
          <w:b w:val="0"/>
          <w:i w:val="0"/>
        </w:rPr>
        <w:t xml:space="preserve">For the coordinator and host, </w:t>
      </w:r>
      <w:r>
        <w:rPr>
          <w:b/>
          <w:i w:val="0"/>
        </w:rPr>
        <w:t>Alina Ioana Baba</w:t>
      </w:r>
      <w:r>
        <w:rPr>
          <w:b w:val="0"/>
          <w:i w:val="0"/>
        </w:rPr>
        <w:t xml:space="preserve">, our project manager, and </w:t>
      </w:r>
      <w:r>
        <w:rPr>
          <w:b/>
          <w:i w:val="0"/>
        </w:rPr>
        <w:t>Livia Golovatic</w:t>
      </w:r>
      <w:r>
        <w:rPr>
          <w:b w:val="0"/>
          <w:i w:val="0"/>
        </w:rPr>
        <w:t>, activity coordinator and group leader of the Romanian group. Alina carries the budget, the contracts and the risk decisions, so she is the person who has to have walked the corridors, tested the doors and windows and driven the route to the nearest hospital before she signs anything: the venue is contracted by her, on the spot if it passes and not at all if it does not. Livia will accompany the Romanian group in August and runs the four joint online preparation sessions, so she is the one who has to turn what the visit finds into what the participants are told — she checks the rooms and the common spaces against the written risk assessment prepared by our financial and logistics officer, and carries the answers back into the preparation.</w:t>
      </w:r>
    </w:p>
    <w:p>
      <w:pPr>
        <w:jc w:val="both"/>
      </w:pPr>
      <w:r>
        <w:rPr>
          <w:b w:val="0"/>
          <w:i w:val="0"/>
        </w:rPr>
        <w:t xml:space="preserve">For Genç Gönüllüler Derneği, </w:t>
      </w:r>
      <w:r>
        <w:rPr>
          <w:b/>
          <w:i w:val="0"/>
        </w:rPr>
        <w:t>the facilitator it designates for the exchange</w:t>
      </w:r>
      <w:r>
        <w:rPr>
          <w:b w:val="0"/>
          <w:i w:val="0"/>
        </w:rPr>
        <w:t xml:space="preserve"> and </w:t>
      </w:r>
      <w:r>
        <w:rPr>
          <w:b/>
          <w:i w:val="0"/>
        </w:rPr>
        <w:t>one young person already selected for the exchange</w:t>
      </w:r>
      <w:r>
        <w:rPr>
          <w:b w:val="0"/>
          <w:i w:val="0"/>
        </w:rPr>
        <w:t>. The facilitator is the one person on the visit whose work depends on conditions that cannot be described in writing: the AI and media production days need a room where twenty-one young people can edit video on a connection that holds, so the facilitator tests it, plans the two days against the actual spaces, and agrees with our lead facilitator who runs what. This is also the facilitator the form counts on this activity, and it is the reason the place goes to that person rather than to a second manager. The Turkish group leader takes part in the working sessions online and receives the room allocation, the emergency arrangements and the photographs of the floors his group will sleep on before he agrees to the travel plan.</w:t>
      </w:r>
    </w:p>
    <w:p>
      <w:pPr>
        <w:jc w:val="both"/>
      </w:pPr>
      <w:r>
        <w:rPr>
          <w:b w:val="0"/>
          <w:i w:val="0"/>
        </w:rPr>
        <w:t xml:space="preserve">For KEA IM Syrou, </w:t>
      </w:r>
      <w:r>
        <w:rPr>
          <w:b/>
          <w:i w:val="0"/>
        </w:rPr>
        <w:t>Evgenia Kalogeropoulou</w:t>
      </w:r>
      <w:r>
        <w:rPr>
          <w:b w:val="0"/>
          <w:i w:val="0"/>
        </w:rPr>
        <w:t xml:space="preserve">, social worker and proposed Greek group leader, and </w:t>
      </w:r>
      <w:r>
        <w:rPr>
          <w:b/>
          <w:i w:val="0"/>
        </w:rPr>
        <w:t>one young person already selected for the exchange</w:t>
      </w:r>
      <w:r>
        <w:rPr>
          <w:b w:val="0"/>
          <w:i w:val="0"/>
        </w:rPr>
        <w:t>. Evgenia co-designs the Day 5 community dialogue, which is a facilitated social-work exercise before it is a media-literacy one, so she walks the village, meets the residents who have agreed to take part and the staff of the mayor’s office, and agrees the route and the timing on the spot. She is also the safeguarding counterpart for the Greek group, which makes the on-site check part of her own responsibility rather than someone else’s report to her.</w:t>
      </w:r>
    </w:p>
    <w:p>
      <w:pPr>
        <w:jc w:val="both"/>
      </w:pPr>
      <w:r>
        <w:rPr>
          <w:b w:val="0"/>
          <w:i w:val="0"/>
        </w:rPr>
        <w:t>The two young people are not observers and they are not there as decoration. Each is chosen from among those who declared, voluntarily and confidentially, a situation limiting their access to opportunities, because the barrier this measure answers is the social one: 12.5% of the young people in our survey said what stops them is lack of self-confidence. They have a defined job on the visit — they check the rooms and the common spaces from a participant’s point of view rather than an organiser’s, they take part in the village walk, and what they say is written into the final programme. Afterwards each of them describes the place to their own group in their own language, in the third online preparation session, which is worth more than any photograph we could send.</w:t>
      </w:r>
    </w:p>
    <w:p>
      <w:pPr>
        <w:jc w:val="both"/>
      </w:pPr>
      <w:r>
        <w:rPr>
          <w:b w:val="0"/>
          <w:i w:val="0"/>
        </w:rPr>
        <w:t>Because those two are minors, the visit carries the same protections as the exchange: written parental consent obtained before booking, travel and medical insurance, and the young person accompanied throughout by the adult from their own organisation, who is the same person who will accompany them in August. Nothing about their participation is improvised for a short trip.</w:t>
      </w:r>
    </w:p>
    <w:p>
      <w:pPr>
        <w:jc w:val="both"/>
      </w:pPr>
      <w:r>
        <w:rPr>
          <w:b w:val="0"/>
          <w:i w:val="0"/>
        </w:rPr>
        <w:t>Five of the six are already part of Activity YEXMS01 — two group leaders, one facilitator and two of the twenty-one participants. Only the project manager is additional, so the two activities together involve twenty-eight distinct people. [TO CONFIRM with the partners: which staff member GGD designates as facilitator, and the identity of the two young people, which follows selection in month 2.]</w:t>
      </w:r>
    </w:p>
    <w:p>
      <w:pPr>
        <w:spacing w:after="200"/>
      </w:pPr>
      <w:r>
        <w:rPr>
          <w:b w:val="0"/>
          <w:i/>
          <w:color w:val="5A5A5A"/>
          <w:sz w:val="16"/>
        </w:rPr>
        <w:t>≈ 4,083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why you want to carry out a Preparatory Visit. What are its objectives and expected outcomes?</w:t>
            </w:r>
          </w:p>
        </w:tc>
      </w:tr>
    </w:tbl>
    <w:p>
      <w:pPr>
        <w:spacing w:after="0"/>
      </w:pPr>
    </w:p>
    <w:p>
      <w:pPr>
        <w:jc w:val="both"/>
      </w:pPr>
      <w:r>
        <w:rPr>
          <w:b w:val="0"/>
          <w:i w:val="0"/>
        </w:rPr>
        <w:t>We ask for this visit on four grounds, and the first three are the ones the Programme itself recognises.</w:t>
      </w:r>
    </w:p>
    <w:p>
      <w:pPr>
        <w:jc w:val="both"/>
      </w:pPr>
      <w:r>
        <w:rPr>
          <w:b w:val="0"/>
          <w:i w:val="0"/>
        </w:rPr>
        <w:t>All twenty-one participants are minors. We are bringing fourteen- to seventeen-year-olds from two other countries into a mountain commune of a few hundred people, and the adults who will be responsible for them at night need to have seen the building before they agree to it. Second, both sending organisations are new working relationships for us: we have never worked with GGD or with KEA before, and a partnership that has only ever met online is the kind that discovers its misunderstandings in August. Third, a venue’s suitability cannot be assessed from photographs — fire exits, the security of balconies, the separation of participants’ rooms from other guests, the mobile signal and an internet connection that has to carry a programme about checking things online are either verified in person or they are assumed. The fourth ground is inclusion, and it is why two of the six places go to young people rather than staff, as described above.</w:t>
      </w:r>
    </w:p>
    <w:p>
      <w:pPr>
        <w:jc w:val="both"/>
      </w:pPr>
      <w:r>
        <w:rPr>
          <w:b w:val="0"/>
          <w:i w:val="0"/>
        </w:rPr>
        <w:t>The visit has five objectives, each with something to show for it.</w:t>
      </w:r>
    </w:p>
    <w:p>
      <w:pPr>
        <w:pStyle w:val="ListNumber"/>
        <w:spacing w:after="40"/>
        <w:ind w:left="340"/>
      </w:pPr>
      <w:r>
        <w:rPr>
          <w:b w:val="0"/>
          <w:i w:val="0"/>
        </w:rPr>
        <w:t>Verify the venue against the written risk assessment and either confirm it in writing or reject it in time to find another. The check covers fire safety certification and evacuation routes, electrical installations and heating, the security of doors, windows and balconies, outdoor lighting, separation from unrelated guests, the rooms in which minors will sleep with group leaders on the same floors, a measured internet test in the plenary room and the four team spaces, mobile coverage across the site, and the driven travel time to the nearest medical facility and hospital.</w:t>
      </w:r>
    </w:p>
    <w:p>
      <w:pPr>
        <w:pStyle w:val="ListNumber"/>
        <w:spacing w:after="40"/>
        <w:ind w:left="340"/>
      </w:pPr>
      <w:r>
        <w:rPr>
          <w:b w:val="0"/>
          <w:i w:val="0"/>
        </w:rPr>
        <w:t>Finalise the daily programme session by session and settle who leads what: GGD confirms Day 3 and Day 6 and names its facilitator, KEA confirms the Day 5 dialogue method and the local-initiative template, the coordinator confirms Days 1, 2, 4 and 7.</w:t>
      </w:r>
    </w:p>
    <w:p>
      <w:pPr>
        <w:pStyle w:val="ListNumber"/>
        <w:spacing w:after="40"/>
        <w:ind w:left="340"/>
      </w:pPr>
      <w:r>
        <w:rPr>
          <w:b w:val="0"/>
          <w:i w:val="0"/>
        </w:rPr>
        <w:t>Agree the three measurement instruments — the fifteen-item practical test in two equivalent forms, the observation grid of four techniques scored 0–2, and the ten-minute exercise used at the local initiatives — and schedule the observer calibration for month 4.</w:t>
      </w:r>
    </w:p>
    <w:p>
      <w:pPr>
        <w:pStyle w:val="ListNumber"/>
        <w:spacing w:after="40"/>
        <w:ind w:left="340"/>
      </w:pPr>
      <w:r>
        <w:rPr>
          <w:b w:val="0"/>
          <w:i w:val="0"/>
        </w:rPr>
        <w:t>Put the protection arrangements in writing while everyone is in the same room: the safeguarding chain, the night-duty rota, the emergency protocol, the sensitive-content protocol and the media and consent rules.</w:t>
      </w:r>
    </w:p>
    <w:p>
      <w:pPr>
        <w:pStyle w:val="ListNumber"/>
        <w:spacing w:after="40"/>
        <w:ind w:left="340"/>
      </w:pPr>
      <w:r>
        <w:rPr>
          <w:b w:val="0"/>
          <w:i w:val="0"/>
        </w:rPr>
        <w:t>Prepare the host community: walk the route of the Day 5 community day in and around Beliș, meet the mayor’s office and the residents who have agreed to take part in the dialogue, and agree the timing and the group transport on the spot.</w:t>
      </w:r>
    </w:p>
    <w:p>
      <w:pPr>
        <w:jc w:val="both"/>
      </w:pPr>
      <w:r>
        <w:rPr>
          <w:b w:val="0"/>
          <w:i w:val="0"/>
        </w:rPr>
        <w:t>Across the three days that work divides naturally. The first day is the venue and its safety. The second is the programme, the instruments and the protection arrangements. The third is the host community and the practical arrangements — meals and dietary requirements with the local producers, insurance for all 27 persons, the visa file and its timetable for the Turkish group, the ferry and flight timings for the Greek group, and the domestic transport plan from each participant’s own home.</w:t>
      </w:r>
    </w:p>
    <w:p>
      <w:pPr>
        <w:jc w:val="both"/>
      </w:pPr>
      <w:r>
        <w:rPr>
          <w:b w:val="0"/>
          <w:i w:val="0"/>
        </w:rPr>
        <w:t>The expected outcomes are documents and decisions rather than impressions: a signed venue confirmation with the risk assessment attached and the connection test recorded; the final timetable, session by session, with the objective, method, competences, output and responsible person for each; the three instruments agreed and the calibration date fixed; the partnership agreement annexes on safeguarding and on the division of tasks signed; written minutes carrying every decision with an owner and a deadline; the four joint online preparation sessions of months 3 and 4 entered in the calendar; and two young people who go home able to tell their groups what August will actually look like. The full three-day programme is annexed on the second sheet of the project timetable.</w:t>
      </w:r>
    </w:p>
    <w:p>
      <w:pPr>
        <w:spacing w:after="200"/>
      </w:pPr>
      <w:r>
        <w:rPr>
          <w:b w:val="0"/>
          <w:i/>
          <w:color w:val="5A5A5A"/>
          <w:sz w:val="16"/>
        </w:rPr>
        <w:t>≈ 3,937 characters (assumed form limit 5,000 — within limit)</w:t>
      </w:r>
    </w:p>
    <w:p>
      <w:r>
        <w:br w:type="page"/>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Beliș from 9 to 11 June 2027, in month 3, with two people from each of the three organisations — six in total, and one of the two from each sending partner is a young person already selected for the exchange. The coordinator’s two carry the on-site verification of the logistical and safety arrangements and the finalisation of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5,476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