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val="0"/>
                <w:i w:val="0"/>
                <w:sz w:val="19"/>
              </w:rPr>
              <w:t>Preparatory visits</w:t>
            </w:r>
          </w:p>
        </w:tc>
        <w:tc>
          <w:tcPr>
            <w:tcW w:type="dxa" w:w="2041"/>
          </w:tcPr>
          <w:p>
            <w:pPr>
              <w:spacing w:before="40" w:after="40"/>
            </w:pPr>
            <w:r/>
            <w:r>
              <w:rPr>
                <w:b w:val="0"/>
                <w:i w:val="0"/>
                <w:sz w:val="19"/>
              </w:rPr>
              <w:t>1</w:t>
            </w:r>
          </w:p>
        </w:tc>
        <w:tc>
          <w:tcPr>
            <w:tcW w:type="dxa" w:w="2041"/>
          </w:tcPr>
          <w:p>
            <w:pPr>
              <w:spacing w:before="40" w:after="40"/>
            </w:pPr>
            <w:r/>
            <w:r>
              <w:rPr>
                <w:b w:val="0"/>
                <w:i w:val="0"/>
                <w:sz w:val="19"/>
              </w:rPr>
              <w:t>6</w:t>
            </w:r>
          </w:p>
        </w:tc>
        <w:tc>
          <w:tcPr>
            <w:tcW w:type="dxa" w:w="2494"/>
          </w:tcPr>
          <w:p>
            <w:pPr>
              <w:spacing w:before="40" w:after="40"/>
            </w:pPr>
            <w:r/>
            <w:r>
              <w:rPr>
                <w:b w:val="0"/>
                <w:i w:val="0"/>
                <w:sz w:val="19"/>
              </w:rPr>
              <w:t>0</w:t>
            </w:r>
          </w:p>
        </w:tc>
      </w:tr>
      <w:tr>
        <w:tc>
          <w:tcPr>
            <w:tcW w:type="dxa" w:w="2835"/>
          </w:tcPr>
          <w:p>
            <w:pPr>
              <w:spacing w:before="40" w:after="40"/>
            </w:pPr>
            <w:r/>
            <w:r>
              <w:rPr>
                <w:b/>
                <w:i w:val="0"/>
                <w:sz w:val="19"/>
              </w:rPr>
              <w:t>Total</w:t>
            </w:r>
          </w:p>
        </w:tc>
        <w:tc>
          <w:tcPr>
            <w:tcW w:type="dxa" w:w="2041"/>
          </w:tcPr>
          <w:p>
            <w:pPr>
              <w:spacing w:before="40" w:after="40"/>
            </w:pPr>
            <w:r/>
            <w:r>
              <w:rPr>
                <w:b/>
                <w:i w:val="0"/>
                <w:sz w:val="19"/>
              </w:rPr>
              <w:t>2</w:t>
            </w:r>
          </w:p>
        </w:tc>
        <w:tc>
          <w:tcPr>
            <w:tcW w:type="dxa" w:w="2041"/>
          </w:tcPr>
          <w:p>
            <w:pPr>
              <w:spacing w:before="40" w:after="40"/>
            </w:pPr>
            <w:r/>
            <w:r>
              <w:rPr>
                <w:b/>
                <w:i w:val="0"/>
                <w:sz w:val="19"/>
              </w:rPr>
              <w:t>33</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in Activity 01 = 21 participants aged 14–17 + 4 group leaders + 2 facilitators, in three national groups of seven from Romania, Türkiye and Greece. The 6 persons of PREPV02 are the preparatory visit: two from each organisation. Four of them are already among those 27 — two group leaders, one facilitator and two of the participants — so 33 persons means 28 distinct people. The form counts no participants with fewer opportunities on a preparatory visit, although both young people who travel are drawn from that group.</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4,080.00</w:t>
            </w:r>
          </w:p>
        </w:tc>
        <w:tc>
          <w:tcPr>
            <w:tcW w:type="dxa" w:w="5669"/>
          </w:tcPr>
          <w:p>
            <w:pPr>
              <w:spacing w:before="40" w:after="40"/>
            </w:pPr>
            <w:r/>
            <w:r>
              <w:rPr>
                <w:b w:val="0"/>
                <w:i w:val="0"/>
                <w:sz w:val="19"/>
              </w:rPr>
              <w:t>680 × 6 persons: 2 from each of the three organisations, one of the two from each sending partner being a young person</w:t>
            </w:r>
          </w:p>
        </w:tc>
      </w:tr>
      <w:tr>
        <w:tc>
          <w:tcPr>
            <w:tcW w:type="dxa" w:w="2494"/>
          </w:tcPr>
          <w:p>
            <w:pPr>
              <w:spacing w:before="40" w:after="40"/>
            </w:pPr>
            <w:r/>
            <w:r>
              <w:rPr>
                <w:b/>
                <w:i w:val="0"/>
                <w:sz w:val="19"/>
              </w:rPr>
              <w:t>Total</w:t>
            </w:r>
          </w:p>
        </w:tc>
        <w:tc>
          <w:tcPr>
            <w:tcW w:type="dxa" w:w="1247"/>
          </w:tcPr>
          <w:p>
            <w:pPr>
              <w:spacing w:before="40" w:after="40"/>
            </w:pPr>
            <w:r/>
            <w:r>
              <w:rPr>
                <w:b/>
                <w:i w:val="0"/>
                <w:sz w:val="19"/>
              </w:rPr>
              <w:t>31,174.00</w:t>
            </w:r>
          </w:p>
        </w:tc>
        <w:tc>
          <w:tcPr>
            <w:tcW w:type="dxa" w:w="5669"/>
          </w:tcPr>
          <w:p>
            <w:pPr>
              <w:spacing w:before="40" w:after="40"/>
            </w:pPr>
            <w:r/>
            <w:r>
              <w:rPr>
                <w:b w:val="0"/>
                <w:i w:val="0"/>
                <w:sz w:val="19"/>
              </w:rPr>
              <w:t>Of which 27,094.00 is the Activity YEXMS01 grant and 4,080.00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YEXMS01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r>
              <w:rPr>
                <w:b w:val="0"/>
                <w:i w:val="0"/>
                <w:sz w:val="19"/>
              </w:rPr>
              <w:t>PREPV02</w:t>
            </w:r>
          </w:p>
        </w:tc>
        <w:tc>
          <w:tcPr>
            <w:tcW w:type="dxa" w:w="1474"/>
          </w:tcPr>
          <w:p>
            <w:pPr>
              <w:spacing w:before="40" w:after="40"/>
            </w:pPr>
            <w:r/>
            <w:r>
              <w:rPr>
                <w:b w:val="0"/>
                <w:i w:val="0"/>
                <w:sz w:val="19"/>
              </w:rPr>
              <w:t>Preparatory visits</w:t>
            </w:r>
          </w:p>
        </w:tc>
        <w:tc>
          <w:tcPr>
            <w:tcW w:type="dxa" w:w="3402"/>
          </w:tcPr>
          <w:p>
            <w:pPr>
              <w:spacing w:before="40" w:after="40"/>
            </w:pPr>
            <w:r/>
            <w:r>
              <w:rPr>
                <w:b w:val="0"/>
                <w:i w:val="0"/>
                <w:sz w:val="19"/>
              </w:rPr>
              <w:t>Preparatory visit to Beliș, related to YEXMS01</w:t>
            </w:r>
          </w:p>
        </w:tc>
        <w:tc>
          <w:tcPr>
            <w:tcW w:type="dxa" w:w="1361"/>
          </w:tcPr>
          <w:p>
            <w:pPr>
              <w:spacing w:before="40" w:after="40"/>
            </w:pPr>
            <w:r/>
            <w:r>
              <w:rPr>
                <w:b w:val="0"/>
                <w:i w:val="0"/>
                <w:sz w:val="19"/>
              </w:rPr>
              <w:t>—</w:t>
            </w:r>
          </w:p>
        </w:tc>
        <w:tc>
          <w:tcPr>
            <w:tcW w:type="dxa" w:w="1134"/>
          </w:tcPr>
          <w:p>
            <w:pPr>
              <w:spacing w:before="40" w:after="40"/>
            </w:pPr>
            <w:r/>
            <w:r>
              <w:rPr>
                <w:b w:val="0"/>
                <w:i w:val="0"/>
                <w:sz w:val="19"/>
              </w:rPr>
              <w:t>6</w:t>
            </w:r>
          </w:p>
        </w:tc>
        <w:tc>
          <w:tcPr>
            <w:tcW w:type="dxa" w:w="1361"/>
          </w:tcPr>
          <w:p>
            <w:pPr>
              <w:spacing w:before="40" w:after="40"/>
            </w:pPr>
            <w:r/>
            <w:r>
              <w:rPr>
                <w:b w:val="0"/>
                <w:i w:val="0"/>
                <w:sz w:val="19"/>
              </w:rPr>
              <w:t>4,080.00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33</w:t>
            </w:r>
          </w:p>
        </w:tc>
        <w:tc>
          <w:tcPr>
            <w:tcW w:type="dxa" w:w="1361"/>
          </w:tcPr>
          <w:p>
            <w:pPr>
              <w:spacing w:before="40" w:after="40"/>
            </w:pPr>
            <w:r/>
            <w:r>
              <w:rPr>
                <w:b/>
                <w:i w:val="0"/>
                <w:sz w:val="19"/>
              </w:rPr>
              <w:t>31,174.00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does not appear in the two tables above on purpose: its 4,080.00 EUR is reported by the form as its own activity, PREPV02, rather than inside the exchange grant. That is why the exchange grant is 27,094.00 while the project total is 31,174.00.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project manager and the activity coordinator then verify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4,433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competence matrix above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Activity PREPV02 — Preparatory visit</w:t>
      </w:r>
    </w:p>
    <w:p>
      <w:pPr>
        <w:spacing w:after="160"/>
      </w:pPr>
      <w:r>
        <w:rPr>
          <w:b w:val="0"/>
          <w:i/>
          <w:color w:val="5A5A5A"/>
          <w:sz w:val="17"/>
        </w:rPr>
        <w:t>Field names and figures below follow the live form (Activity PREPV02: Beliș, 09/06/2027 – 11/06/2027, six persons, 4,080.00 EUR).</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PREPV02</w:t>
            </w:r>
          </w:p>
        </w:tc>
        <w:tc>
          <w:tcPr>
            <w:tcW w:type="dxa" w:w="2041"/>
          </w:tcPr>
          <w:p>
            <w:pPr>
              <w:spacing w:before="40" w:after="40"/>
            </w:pPr>
            <w:r/>
            <w:r>
              <w:rPr>
                <w:b w:val="0"/>
                <w:i w:val="0"/>
                <w:sz w:val="19"/>
              </w:rPr>
              <w:t>Related to activity</w:t>
            </w:r>
          </w:p>
        </w:tc>
        <w:tc>
          <w:tcPr>
            <w:tcW w:type="dxa" w:w="2665"/>
          </w:tcPr>
          <w:p>
            <w:pPr>
              <w:spacing w:before="40" w:after="40"/>
            </w:pPr>
            <w:r/>
            <w:r>
              <w:rPr>
                <w:b w:val="0"/>
                <w:i w:val="0"/>
                <w:sz w:val="19"/>
              </w:rPr>
              <w:t>YEXMS01 — VERIFAI: Young Detectives Against Digital Disinformation</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Preparatory visits</w:t>
            </w:r>
          </w:p>
        </w:tc>
        <w:tc>
          <w:tcPr>
            <w:tcW w:type="dxa" w:w="2041"/>
          </w:tcPr>
          <w:p>
            <w:pPr>
              <w:spacing w:before="40" w:after="40"/>
            </w:pPr>
            <w:r/>
            <w:r>
              <w:rPr>
                <w:b w:val="0"/>
                <w:i w:val="0"/>
                <w:sz w:val="19"/>
              </w:rPr>
              <w:t>Organiser of the preparatory visit</w:t>
            </w:r>
          </w:p>
        </w:tc>
        <w:tc>
          <w:tcPr>
            <w:tcW w:type="dxa" w:w="2665"/>
          </w:tcPr>
          <w:p>
            <w:pPr>
              <w:spacing w:before="40" w:after="40"/>
            </w:pPr>
            <w:r/>
            <w:r>
              <w:rPr>
                <w:b w:val="0"/>
                <w:i w:val="0"/>
                <w:sz w:val="19"/>
              </w:rPr>
              <w:t>ASOCIAȚIA GRUPUL DE ACȚIUNE LOCALĂ NAPOCA POROLISSUM</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09/06/2027</w:t>
            </w:r>
          </w:p>
        </w:tc>
        <w:tc>
          <w:tcPr>
            <w:tcW w:type="dxa" w:w="2041"/>
          </w:tcPr>
          <w:p>
            <w:pPr>
              <w:spacing w:before="40" w:after="40"/>
            </w:pPr>
            <w:r/>
            <w:r>
              <w:rPr>
                <w:b w:val="0"/>
                <w:i w:val="0"/>
                <w:sz w:val="19"/>
              </w:rPr>
              <w:t>End date</w:t>
            </w:r>
          </w:p>
        </w:tc>
        <w:tc>
          <w:tcPr>
            <w:tcW w:type="dxa" w:w="2665"/>
          </w:tcPr>
          <w:p>
            <w:pPr>
              <w:spacing w:before="40" w:after="40"/>
            </w:pPr>
            <w:r/>
            <w:r>
              <w:rPr>
                <w:b w:val="0"/>
                <w:i w:val="0"/>
                <w:sz w:val="19"/>
              </w:rPr>
              <w:t>11/06/2027</w:t>
            </w:r>
          </w:p>
        </w:tc>
      </w:tr>
      <w:tr>
        <w:tc>
          <w:tcPr>
            <w:tcW w:type="dxa" w:w="2041"/>
          </w:tcPr>
          <w:p>
            <w:pPr>
              <w:spacing w:before="40" w:after="40"/>
            </w:pPr>
            <w:r/>
            <w:r>
              <w:rPr>
                <w:b w:val="0"/>
                <w:i w:val="0"/>
                <w:sz w:val="19"/>
              </w:rPr>
              <w:t>Venue of the activity</w:t>
            </w:r>
          </w:p>
        </w:tc>
        <w:tc>
          <w:tcPr>
            <w:tcW w:type="dxa" w:w="2665"/>
          </w:tcPr>
          <w:p>
            <w:pPr>
              <w:spacing w:before="40" w:after="40"/>
            </w:pPr>
            <w:r/>
            <w:r>
              <w:rPr>
                <w:b w:val="0"/>
                <w:i w:val="0"/>
                <w:sz w:val="19"/>
              </w:rPr>
              <w:t>Romania — Beliș, Cluj County</w:t>
            </w:r>
          </w:p>
        </w:tc>
        <w:tc>
          <w:tcPr>
            <w:tcW w:type="dxa" w:w="2041"/>
          </w:tcPr>
          <w:p>
            <w:pPr>
              <w:spacing w:before="40" w:after="40"/>
            </w:pPr>
            <w:r/>
            <w:r>
              <w:rPr>
                <w:b w:val="0"/>
                <w:i w:val="0"/>
                <w:sz w:val="19"/>
              </w:rPr>
              <w:t>Duration</w:t>
            </w:r>
          </w:p>
        </w:tc>
        <w:tc>
          <w:tcPr>
            <w:tcW w:type="dxa" w:w="2665"/>
          </w:tcPr>
          <w:p>
            <w:pPr>
              <w:spacing w:before="40" w:after="40"/>
            </w:pPr>
            <w:r/>
            <w:r>
              <w:rPr>
                <w:b w:val="0"/>
                <w:i w:val="0"/>
                <w:sz w:val="19"/>
              </w:rPr>
              <w:t>3 days, in month 3 of the project</w:t>
            </w:r>
          </w:p>
        </w:tc>
      </w:tr>
      <w:tr>
        <w:tc>
          <w:tcPr>
            <w:tcW w:type="dxa" w:w="2041"/>
          </w:tcPr>
          <w:p>
            <w:pPr>
              <w:spacing w:before="40" w:after="40"/>
            </w:pPr>
            <w:r/>
            <w:r>
              <w:rPr>
                <w:b w:val="0"/>
                <w:i w:val="0"/>
                <w:sz w:val="19"/>
              </w:rPr>
              <w:t>Number of persons</w:t>
            </w:r>
          </w:p>
        </w:tc>
        <w:tc>
          <w:tcPr>
            <w:tcW w:type="dxa" w:w="2665"/>
          </w:tcPr>
          <w:p>
            <w:pPr>
              <w:spacing w:before="40" w:after="40"/>
            </w:pPr>
            <w:r/>
            <w:r>
              <w:rPr>
                <w:b w:val="0"/>
                <w:i w:val="0"/>
                <w:sz w:val="19"/>
              </w:rPr>
              <w:t>6 — two from each of the three organisations</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1 — the facilitator designated by GGD, on the Turkish flow</w:t>
            </w:r>
          </w:p>
        </w:tc>
      </w:tr>
      <w:tr>
        <w:tc>
          <w:tcPr>
            <w:tcW w:type="dxa" w:w="2041"/>
          </w:tcPr>
          <w:p>
            <w:pPr>
              <w:spacing w:before="40" w:after="40"/>
            </w:pPr>
            <w:r/>
            <w:r>
              <w:rPr>
                <w:b w:val="0"/>
                <w:i w:val="0"/>
                <w:sz w:val="19"/>
              </w:rPr>
              <w:t>Total activity grant</w:t>
            </w:r>
          </w:p>
        </w:tc>
        <w:tc>
          <w:tcPr>
            <w:tcW w:type="dxa" w:w="2665"/>
          </w:tcPr>
          <w:p>
            <w:pPr>
              <w:spacing w:before="40" w:after="40"/>
            </w:pPr>
            <w:r/>
            <w:r>
              <w:rPr>
                <w:b/>
                <w:i w:val="0"/>
                <w:sz w:val="19"/>
              </w:rPr>
              <w:t>4,080.00 EUR</w:t>
            </w:r>
            <w:r>
              <w:rPr>
                <w:b w:val="0"/>
                <w:i w:val="0"/>
                <w:sz w:val="19"/>
              </w:rPr>
              <w:t xml:space="preserve"> (680 × 6)</w:t>
            </w:r>
          </w:p>
        </w:tc>
        <w:tc>
          <w:tcPr>
            <w:tcW w:type="dxa" w:w="2041"/>
          </w:tcPr>
          <w:p>
            <w:pPr>
              <w:spacing w:before="40" w:after="40"/>
            </w:pPr>
            <w:r/>
            <w:r>
              <w:rPr>
                <w:b w:val="0"/>
                <w:i w:val="0"/>
                <w:sz w:val="19"/>
              </w:rPr>
              <w:t>Flows</w:t>
            </w:r>
          </w:p>
        </w:tc>
        <w:tc>
          <w:tcPr>
            <w:tcW w:type="dxa" w:w="2665"/>
          </w:tcPr>
          <w:p>
            <w:pPr>
              <w:spacing w:before="40" w:after="40"/>
            </w:pPr>
            <w:r/>
            <w:r>
              <w:rPr>
                <w:b w:val="0"/>
                <w:i w:val="0"/>
                <w:sz w:val="19"/>
              </w:rPr>
              <w:t>3 × 2 persons: Romania (organiser), Türkiye, Greece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who will take part in the Preparatory Visit.</w:t>
            </w:r>
          </w:p>
        </w:tc>
      </w:tr>
    </w:tbl>
    <w:p>
      <w:pPr>
        <w:spacing w:after="0"/>
      </w:pPr>
    </w:p>
    <w:p>
      <w:pPr>
        <w:jc w:val="both"/>
      </w:pPr>
      <w:r>
        <w:rPr>
          <w:b w:val="0"/>
          <w:i w:val="0"/>
        </w:rPr>
        <w:t>Six people travel or take part on site, two from each of the three organisations. We chose them by one rule: whoever has to sign something, facilitate something or reassure somebody in August should have stood in the building first.</w:t>
      </w:r>
    </w:p>
    <w:p>
      <w:pPr>
        <w:jc w:val="both"/>
      </w:pPr>
      <w:r>
        <w:rPr>
          <w:b w:val="0"/>
          <w:i w:val="0"/>
        </w:rPr>
        <w:t xml:space="preserve">For the coordinator and host, </w:t>
      </w:r>
      <w:r>
        <w:rPr>
          <w:b/>
          <w:i w:val="0"/>
        </w:rPr>
        <w:t>Alina Ioana Baba</w:t>
      </w:r>
      <w:r>
        <w:rPr>
          <w:b w:val="0"/>
          <w:i w:val="0"/>
        </w:rPr>
        <w:t xml:space="preserve">, our project manager, and </w:t>
      </w:r>
      <w:r>
        <w:rPr>
          <w:b/>
          <w:i w:val="0"/>
        </w:rPr>
        <w:t>Livia Golovatic</w:t>
      </w:r>
      <w:r>
        <w:rPr>
          <w:b w:val="0"/>
          <w:i w:val="0"/>
        </w:rPr>
        <w:t>, activity coordinator and group leader of the Romanian group. Alina carries the budget, the contracts and the risk decisions, so she is the person who has to have walked the corridors, tested the doors and windows and driven the route to the nearest hospital before she signs anything: the venue is contracted by her, on the spot if it passes and not at all if it does not. Livia will accompany the Romanian group in August and runs the four joint online preparation sessions, so she is the one who has to turn what the visit finds into what the participants are told — she checks the rooms and the common spaces against the written risk assessment prepared by our financial and logistics officer, and carries the answers back into the preparation.</w:t>
      </w:r>
    </w:p>
    <w:p>
      <w:pPr>
        <w:jc w:val="both"/>
      </w:pPr>
      <w:r>
        <w:rPr>
          <w:b w:val="0"/>
          <w:i w:val="0"/>
        </w:rPr>
        <w:t xml:space="preserve">For Genç Gönüllüler Derneği, </w:t>
      </w:r>
      <w:r>
        <w:rPr>
          <w:b/>
          <w:i w:val="0"/>
        </w:rPr>
        <w:t>the facilitator it designates for the exchange</w:t>
      </w:r>
      <w:r>
        <w:rPr>
          <w:b w:val="0"/>
          <w:i w:val="0"/>
        </w:rPr>
        <w:t xml:space="preserve"> and </w:t>
      </w:r>
      <w:r>
        <w:rPr>
          <w:b/>
          <w:i w:val="0"/>
        </w:rPr>
        <w:t>one young person already selected for the exchange</w:t>
      </w:r>
      <w:r>
        <w:rPr>
          <w:b w:val="0"/>
          <w:i w:val="0"/>
        </w:rPr>
        <w:t>. The facilitator is the one person on the visit whose work depends on conditions that cannot be described in writing: the AI and media production days need a room where twenty-one young people can edit video on a connection that holds, so the facilitator tests it, plans the two days against the actual spaces, and agrees with our lead facilitator who runs what. This is also the facilitator the form counts on this activity, and it is the reason the place goes to that person rather than to a second manager. The Turkish group leader takes part in the working sessions online and receives the room allocation, the emergency arrangements and the photographs of the floors his group will sleep on before he agrees to the travel plan.</w:t>
      </w:r>
    </w:p>
    <w:p>
      <w:pPr>
        <w:jc w:val="both"/>
      </w:pPr>
      <w:r>
        <w:rPr>
          <w:b w:val="0"/>
          <w:i w:val="0"/>
        </w:rPr>
        <w:t xml:space="preserve">For KEA IM Syrou, </w:t>
      </w:r>
      <w:r>
        <w:rPr>
          <w:b/>
          <w:i w:val="0"/>
        </w:rPr>
        <w:t>Evgenia Kalogeropoulou</w:t>
      </w:r>
      <w:r>
        <w:rPr>
          <w:b w:val="0"/>
          <w:i w:val="0"/>
        </w:rPr>
        <w:t xml:space="preserve">, social worker and proposed Greek group leader, and </w:t>
      </w:r>
      <w:r>
        <w:rPr>
          <w:b/>
          <w:i w:val="0"/>
        </w:rPr>
        <w:t>one young person already selected for the exchange</w:t>
      </w:r>
      <w:r>
        <w:rPr>
          <w:b w:val="0"/>
          <w:i w:val="0"/>
        </w:rPr>
        <w:t>. Evgenia co-designs the Day 5 community dialogue, which is a facilitated social-work exercise before it is a media-literacy one, so she walks the village, meets the residents who have agreed to take part and the staff of the mayor’s office, and agrees the route and the timing on the spot. She is also the safeguarding counterpart for the Greek group, which makes the on-site check part of her own responsibility rather than someone else’s report to her.</w:t>
      </w:r>
    </w:p>
    <w:p>
      <w:pPr>
        <w:jc w:val="both"/>
      </w:pPr>
      <w:r>
        <w:rPr>
          <w:b w:val="0"/>
          <w:i w:val="0"/>
        </w:rPr>
        <w:t>The two young people are not observers and they are not there as decoration. Each is chosen from among those who declared, voluntarily and confidentially, a situation limiting their access to opportunities, because the barrier this measure answers is the social one: 12.5% of the young people in our survey said what stops them is lack of self-confidence. They have a defined job on the visit — they check the rooms and the common spaces from a participant’s point of view rather than an organiser’s, they take part in the village walk, and what they say is written into the final programme. Afterwards each of them describes the place to their own group in their own language, in the third online preparation session, which is worth more than any photograph we could send.</w:t>
      </w:r>
    </w:p>
    <w:p>
      <w:pPr>
        <w:jc w:val="both"/>
      </w:pPr>
      <w:r>
        <w:rPr>
          <w:b w:val="0"/>
          <w:i w:val="0"/>
        </w:rPr>
        <w:t>Because those two are minors, the visit carries the same protections as the exchange: written parental consent obtained before booking, travel and medical insurance, and the young person accompanied throughout by the adult from their own organisation, who is the same person who will accompany them in August. Nothing about their participation is improvised for a short trip.</w:t>
      </w:r>
    </w:p>
    <w:p>
      <w:pPr>
        <w:jc w:val="both"/>
      </w:pPr>
      <w:r>
        <w:rPr>
          <w:b w:val="0"/>
          <w:i w:val="0"/>
        </w:rPr>
        <w:t>Five of the six are already part of Activity YEXMS01 — two group leaders, one facilitator and two of the twenty-one participants. Only the project manager is additional, so the two activities together involve twenty-eight distinct people. [TO CONFIRM with the partners: which staff member GGD designates as facilitator, and the identity of the two young people, which follows selection in month 2.]</w:t>
      </w:r>
    </w:p>
    <w:p>
      <w:pPr>
        <w:spacing w:after="200"/>
      </w:pPr>
      <w:r>
        <w:rPr>
          <w:b w:val="0"/>
          <w:i/>
          <w:color w:val="5A5A5A"/>
          <w:sz w:val="16"/>
        </w:rPr>
        <w:t>≈ 4,083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why you want to carry out a Preparatory Visit. What are its objectives and expected outcomes?</w:t>
            </w:r>
          </w:p>
        </w:tc>
      </w:tr>
    </w:tbl>
    <w:p>
      <w:pPr>
        <w:spacing w:after="0"/>
      </w:pPr>
    </w:p>
    <w:p>
      <w:pPr>
        <w:jc w:val="both"/>
      </w:pPr>
      <w:r>
        <w:rPr>
          <w:b w:val="0"/>
          <w:i w:val="0"/>
        </w:rPr>
        <w:t>We ask for this visit on four grounds, and the first three are the ones the Programme itself recognises.</w:t>
      </w:r>
    </w:p>
    <w:p>
      <w:pPr>
        <w:jc w:val="both"/>
      </w:pPr>
      <w:r>
        <w:rPr>
          <w:b w:val="0"/>
          <w:i w:val="0"/>
        </w:rPr>
        <w:t>All twenty-one participants are minors. We are bringing fourteen- to seventeen-year-olds from two other countries into a mountain commune of a few hundred people, and the adults who will be responsible for them at night need to have seen the building before they agree to it. Second, both sending organisations are new working relationships for us: we have never worked with GGD or with KEA before, and a partnership that has only ever met online is the kind that discovers its misunderstandings in August. Third, a venue’s suitability cannot be assessed from photographs — fire exits, the security of balconies, the separation of participants’ rooms from other guests, the mobile signal and an internet connection that has to carry a programme about checking things online are either verified in person or they are assumed. The fourth ground is inclusion, and it is why two of the six places go to young people rather than staff, as described above.</w:t>
      </w:r>
    </w:p>
    <w:p>
      <w:pPr>
        <w:jc w:val="both"/>
      </w:pPr>
      <w:r>
        <w:rPr>
          <w:b w:val="0"/>
          <w:i w:val="0"/>
        </w:rPr>
        <w:t>The visit has five objectives, each with something to show for it.</w:t>
      </w:r>
    </w:p>
    <w:p>
      <w:pPr>
        <w:pStyle w:val="ListNumber"/>
        <w:spacing w:after="40"/>
        <w:ind w:left="340"/>
      </w:pPr>
      <w:r>
        <w:rPr>
          <w:b w:val="0"/>
          <w:i w:val="0"/>
        </w:rPr>
        <w:t>Verify the venue against the written risk assessment and either confirm it in writing or reject it in time to find another. The check covers fire safety certification and evacuation routes, electrical installations and heating, the security of doors, windows and balconies, outdoor lighting, separation from unrelated guests, the rooms in which minors will sleep with group leaders on the same floors, a measured internet test in the plenary room and the four team spaces, mobile coverage across the site, and the driven travel time to the nearest medical facility and hospital.</w:t>
      </w:r>
    </w:p>
    <w:p>
      <w:pPr>
        <w:pStyle w:val="ListNumber"/>
        <w:spacing w:after="40"/>
        <w:ind w:left="340"/>
      </w:pPr>
      <w:r>
        <w:rPr>
          <w:b w:val="0"/>
          <w:i w:val="0"/>
        </w:rPr>
        <w:t>Finalise the daily programme session by session and settle who leads what: GGD confirms Day 3 and Day 6 and names its facilitator, KEA confirms the Day 5 dialogue method and the local-initiative template, the coordinator confirms Days 1, 2, 4 and 7.</w:t>
      </w:r>
    </w:p>
    <w:p>
      <w:pPr>
        <w:pStyle w:val="ListNumber"/>
        <w:spacing w:after="40"/>
        <w:ind w:left="340"/>
      </w:pPr>
      <w:r>
        <w:rPr>
          <w:b w:val="0"/>
          <w:i w:val="0"/>
        </w:rPr>
        <w:t>Agree the three measurement instruments — the fifteen-item practical test in two equivalent forms, the observation grid of four techniques scored 0–2, and the ten-minute exercise used at the local initiatives — and schedule the observer calibration for month 4.</w:t>
      </w:r>
    </w:p>
    <w:p>
      <w:pPr>
        <w:pStyle w:val="ListNumber"/>
        <w:spacing w:after="40"/>
        <w:ind w:left="340"/>
      </w:pPr>
      <w:r>
        <w:rPr>
          <w:b w:val="0"/>
          <w:i w:val="0"/>
        </w:rPr>
        <w:t>Put the protection arrangements in writing while everyone is in the same room: the safeguarding chain, the night-duty rota, the emergency protocol, the sensitive-content protocol and the media and consent rules.</w:t>
      </w:r>
    </w:p>
    <w:p>
      <w:pPr>
        <w:pStyle w:val="ListNumber"/>
        <w:spacing w:after="40"/>
        <w:ind w:left="340"/>
      </w:pPr>
      <w:r>
        <w:rPr>
          <w:b w:val="0"/>
          <w:i w:val="0"/>
        </w:rPr>
        <w:t>Prepare the host community: walk the route of the Day 5 community day in and around Beliș, meet the mayor’s office and the residents who have agreed to take part in the dialogue, and agree the timing and the group transport on the spot.</w:t>
      </w:r>
    </w:p>
    <w:p>
      <w:pPr>
        <w:jc w:val="both"/>
      </w:pPr>
      <w:r>
        <w:rPr>
          <w:b w:val="0"/>
          <w:i w:val="0"/>
        </w:rPr>
        <w:t>Across the three days that work divides naturally. The first day is the venue and its safety. The second is the programme, the instruments and the protection arrangements. The third is the host community and the practical arrangements — meals and dietary requirements with the local producers, insurance for all 27 persons, the visa file and its timetable for the Turkish group, the ferry and flight timings for the Greek group, and the domestic transport plan from each participant’s own home.</w:t>
      </w:r>
    </w:p>
    <w:p>
      <w:pPr>
        <w:jc w:val="both"/>
      </w:pPr>
      <w:r>
        <w:rPr>
          <w:b w:val="0"/>
          <w:i w:val="0"/>
        </w:rPr>
        <w:t>The expected outcomes are documents and decisions rather than impressions: a signed venue confirmation with the risk assessment attached and the connection test recorded; the final timetable, session by session, with the objective, method, competences, output and responsible person for each; the three instruments agreed and the calibration date fixed; the partnership agreement annexes on safeguarding and on the division of tasks signed; written minutes carrying every decision with an owner and a deadline; the four joint online preparation sessions of months 3 and 4 entered in the calendar; and two young people who go home able to tell their groups what August will actually look like. The full three-day programme is annexed on the second sheet of the project timetable.</w:t>
      </w:r>
    </w:p>
    <w:p>
      <w:pPr>
        <w:spacing w:after="200"/>
      </w:pPr>
      <w:r>
        <w:rPr>
          <w:b w:val="0"/>
          <w:i/>
          <w:color w:val="5A5A5A"/>
          <w:sz w:val="16"/>
        </w:rPr>
        <w:t>≈ 3,937 characters (assumed form limit 5,000 — within limit)</w:t>
      </w:r>
    </w:p>
    <w:p>
      <w:r>
        <w:br w:type="page"/>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of the three obstacles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through the inclusion support category on a dedicated budget line, so that a young person from Măguri-Răcătău, or one who must take an inter-island ferry before reaching an airport, does not have to solve the first leg alone. </w:t>
      </w: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accompanying adults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Two additional travel days are eligible for the Turkish and Greek flows under green travel, and we use them so that no minor travels overnight to save a day. And the activity itself is held in Beliș, inside the territory, because 58.5% of the young people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reimbursement model in which a family pays first. The rule is in the call from the day it is published. Inclusion support for organisations, 125 EUR for each of the 13 concerned, pays for what reaching them costs: the in-person visits, the four-language call, the parents’ version and the extra preparation time. Inclusion support for participants is requested at real cost on separate dedicated lines, each justified individually, for a documented need such as an extra ferry leg, additional domestic transport or an accessibility cost. Nothing in the programme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full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communication group is active two months before departure; and the four online preparation sessions are held in mixed national composition, so the team a participant will work with in August has already met them. Language is deliberately kept out of the door: English is not a selection criterion, A2 is accepted, the glossary is built in four languages, methods are visual and practical, and group leaders interpret on request — a test at the door would simply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means the material carrying ethnic, gender and migration stereotypes is pre-screened and nobody from a targeted community is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not read off a booking page, together with the connection test, the evacuation arrangements and the distance to the nearest medical facility. After selection, the confidential specific-needs sheet allows a participant to declare a health, dietary or accessibility need; the venue check is then repeated against that need, and the support is requested at real cost on its own line.</w:t>
      </w:r>
    </w:p>
    <w:p>
      <w:pPr>
        <w:spacing w:after="200"/>
      </w:pPr>
      <w:r>
        <w:rPr>
          <w:b w:val="0"/>
          <w:i/>
          <w:color w:val="5A5A5A"/>
          <w:sz w:val="16"/>
        </w:rPr>
        <w:t>≈ 4,950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Beliș from 9 to 11 June 2027, in month 3, with two people from each of the three organisations — six in total, and one of the two from each sending partner is a young person already selected for the exchange. The coordinator’s two carry the on-site verification of the logistical and safety arrangements and the finalisation of the mobility programme with the partners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5,476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The three instruments that judge this project exist in writing now, at application stage, rather than being invented once the results are in. Every indicator we use has a baseline, a target, an instrument, a named owner and a fixed moment of measurement.</w:t>
      </w:r>
    </w:p>
    <w:p>
      <w:pPr>
        <w:jc w:val="both"/>
      </w:pPr>
      <w:r>
        <w:rPr>
          <w:b w:val="0"/>
          <w:i w:val="0"/>
        </w:rPr>
        <w:t>The first instrument is a practical verification test of fifteen items worth thirty points, taken online on a closed device: Form A in month 2, before any learning activity, and the equivalent Form B in month 18, scored by the same formula at both ends. It is what tells us whether objective O1 was met — a rise of at least 30% in the mean score for at least 17 of the 21 participants. The second is an observation grid on which four named techniques are scored 0 to 2 each: identifying the source and the author, checking the date and the original context, comparing against two independent sources, and testing an image or a claim. It is applied in session D4.1 on Day 4 by six calibrated observers — the four group leaders and the two facilitators — with ten of the twenty-one double-scored independently and the Learning Programme Coordinator moderating but not scoring; it is what tells us whether O2 was met, again for at least 17 of 21. The third is a ten-minute exercise at the close of each of the four local initiatives: a young person who attended names two distinct checks, carries one out and draws a conclusion that follows from it. All three conditions, or it does not count. That is how O3 is judged — at least 80 young people reached, at least 20 per community, and at least 70% of them able to apply two simple methods.</w:t>
      </w:r>
    </w:p>
    <w:p>
      <w:pPr>
        <w:jc w:val="both"/>
      </w:pPr>
      <w:r>
        <w:rPr>
          <w:b w:val="0"/>
          <w:i w:val="0"/>
        </w:rPr>
        <w:t>Two further measures matter more to us than the headline scores, because they go to the actual problem. The test carries a separate four-point sub-score on the two items that depend on overconfidence rather than knowledge, and we expect it to move proportionally more than the total; and an unscored question asking how good participants believe they are is converted onto the test scale, so the distance between believed and actual ability is reported as a number in month 2 and again in month 18. Our starting point is a group that already thinks it can spot a fake, so a project that raised the score while leaving that gap untouched would have missed the point.</w:t>
      </w:r>
    </w:p>
    <w:p>
      <w:pPr>
        <w:jc w:val="both"/>
      </w:pPr>
      <w:r>
        <w:rPr>
          <w:b w:val="0"/>
          <w:i w:val="0"/>
        </w:rPr>
        <w:t>Neither instrument is used on the cohort untested. Before month 2 both are piloted with five to eight young people aged 14–17 from the territory who are not project participants, and any item that more than 80% or fewer than 10% of them answer correctly is rewritten, because an item everyone gets right and an item nobody gets right tell us nothing. The baseline is then taken in month 2 and the recalibration rule applied once, on the group mean, with the decision written down at the time. In month 4 all six observers score the same recorded sequence independently and compare, targeting exact agreement on at least 80% of judgements; if that is not reached the grid is simplified before the mobility and the decision minuted — before anyone has seen a result, never after.</w:t>
      </w:r>
    </w:p>
    <w:p>
      <w:pPr>
        <w:jc w:val="both"/>
      </w:pPr>
      <w:r>
        <w:rPr>
          <w:b w:val="0"/>
          <w:i w:val="0"/>
        </w:rPr>
        <w:t>A second set of checks at selection is as binding as the learning ones: at least 63 applications for the 21 places, at least 16 of the 21 taking part in a European mobility for the first time, at least 13 with fewer opportunities, and at least 40% of each gender in every national group, verified by the activity coordinator at selection and again at final confirmation.</w:t>
      </w:r>
    </w:p>
    <w:p>
      <w:pPr>
        <w:jc w:val="both"/>
      </w:pPr>
      <w:r>
        <w:rPr>
          <w:b w:val="0"/>
          <w:i w:val="0"/>
        </w:rPr>
        <w:t>During the week the evaluation is continuous and visible to the participants. The daily reflection groups run first in the national group in the participant’s own language and then in plenary, and what comes out of them visibly changes the next day’s programme — a learning method and our best early warning at once. The Day 4 grid is moderated immediately after the session, while the observers still remember what they saw, and at the mid-point each participant returns to the two learning targets they set on Day 1. On Day 7 there is a participatory evaluation run with the participants rather than on them, an anonymous questionnaire in which we look for at least 80% positive without leaning on it, the Youthpass session, and the comparison of each sealed Day 1 digital map with what its author can now say about their own habits.</w:t>
      </w:r>
    </w:p>
    <w:p>
      <w:pPr>
        <w:jc w:val="both"/>
      </w:pPr>
      <w:r>
        <w:rPr>
          <w:b w:val="0"/>
          <w:i w:val="0"/>
        </w:rPr>
        <w:t>After the mobility the measurement follows the participants. Each local initiative produces an attendance record, a short report and the ten-minute exercise. In month 10 the four groups meet online to review what actually worked, and that review is what revises the toolkit, not a desk edit. A follow-up questionnaire in month 12 asks what they still use, with at least 16 of the 21 expected to be applying something six months on. In month 17 the participants take part in a participatory evaluation session that feeds the final report, and the three organisations hold their own evaluation meeting. In month 18 the final test is taken, compared with the baseline and written up. Externally we count one thing: at least four organisations outside the partnership confirming in writing that they use the toolkit. Results are communicated individually to every participant and collectively to parents, community partners, the 14 municipalities and the National Agency.</w:t>
      </w:r>
    </w:p>
    <w:p>
      <w:pPr>
        <w:jc w:val="both"/>
      </w:pPr>
      <w:r>
        <w:rPr>
          <w:b w:val="0"/>
          <w:i w:val="0"/>
        </w:rPr>
        <w:t>We have built these instruments so that failure is visible rather than comfortable. A practical test can come back showing no improvement. An observation grid can record, participant by participant, that a technique was not performed. A participant who does not take both forms is excluded from the calculation and reported as excluded, not quietly removed from the denominator. We prefer that to a satisfaction questionnaire that always comes back positive. And we will describe the instruments honestly: fifteen items and twenty-one participants do not make a validated psychometric instrument and we will not call it one. It is fit for tracking change inside this cohort and for telling the team where the learning worked and where it did not; the final report will say both.</w:t>
      </w:r>
    </w:p>
    <w:p>
      <w:pPr>
        <w:spacing w:after="200"/>
      </w:pPr>
      <w:r>
        <w:rPr>
          <w:b w:val="0"/>
          <w:i/>
          <w:color w:val="5A5A5A"/>
          <w:sz w:val="16"/>
        </w:rPr>
        <w:t>≈ 5,991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Four things stay behind when the funding stops, and each one has a person responsible for it.</w:t>
      </w:r>
    </w:p>
    <w:p>
      <w:pPr>
        <w:jc w:val="both"/>
      </w:pPr>
      <w:r>
        <w:rPr>
          <w:b w:val="0"/>
          <w:i w:val="0"/>
        </w:rPr>
        <w:t>The first is the toolkit. We call it “Digital Detectives” and it is not a report about the project. It is the material we actually used: worksheets, exercises, games, verification grids, the manipulation grid the participants wrote in four languages, and the AI-recognition sheet they made themselves. We test it during the exchange, then we fix it in month 10 using what really worked in the four local initiatives and what did not. It is published free of charge in month 17 in English and Romanian, and GGD and KEA translate it into Turkish and Greek. Any youth worker can download it and run a session with it the same week.</w:t>
      </w:r>
    </w:p>
    <w:p>
      <w:pPr>
        <w:jc w:val="both"/>
      </w:pPr>
      <w:r>
        <w:rPr>
          <w:b w:val="0"/>
          <w:i w:val="0"/>
        </w:rPr>
        <w:t>The second is where that toolkit goes next, because a published file that nobody picks up is not a result. Our association already runs youth activities across its 14 partner municipalities and holds community events every year, and the toolkit becomes part of that work. GGD puts it into the volunteer network it trains every year and into its rural youth programme. KEA takes it into its creative activity centre for children and young people and out to the 36 islands it serves. In the partnership agreement each organisation writes down the name of the person who is responsible for it after the project ends — a name, not a department.</w:t>
      </w:r>
    </w:p>
    <w:p>
      <w:pPr>
        <w:jc w:val="both"/>
      </w:pPr>
      <w:r>
        <w:rPr>
          <w:b w:val="0"/>
          <w:i w:val="0"/>
        </w:rPr>
        <w:t>The third is the twenty-one participants. They do not stop being part of this when they get home. Each of them has already planned and led a local activity for other young people, so the three organisations keep them on as peer trainers in what they do next. That is cheaper than finding a new group and it works better, because a sixteen-year-old listens differently to another sixteen-year-old. The group chat stays open for the whole 18 months and is not closed when the report is submitted.</w:t>
      </w:r>
    </w:p>
    <w:p>
      <w:pPr>
        <w:jc w:val="both"/>
      </w:pPr>
      <w:r>
        <w:rPr>
          <w:b w:val="0"/>
          <w:i w:val="0"/>
        </w:rPr>
        <w:t>The fourth is the three instruments: the practical test, the observation grid, and the short exercise we use with the young people the participants reach afterwards. All three can be used again. At the end of this project our association owns three ways of measuring what young people actually learned, which it did not have before, and that changes what we can honestly write in the next project we apply for.</w:t>
      </w:r>
    </w:p>
    <w:p>
      <w:pPr>
        <w:jc w:val="both"/>
      </w:pPr>
      <w:r>
        <w:rPr>
          <w:b w:val="0"/>
          <w:i w:val="0"/>
        </w:rPr>
        <w:t>In month 17 the three organisations sit down and decide whether to carry on together, and with what. Two ideas are already on the table: a second exchange, hosted next time by GGD or KEA, or a youth participation project where young people talk directly to local decision-makers. We write the decision down either way, including if the answer is no.</w:t>
      </w:r>
    </w:p>
    <w:p>
      <w:pPr>
        <w:spacing w:after="200"/>
      </w:pPr>
      <w:r>
        <w:rPr>
          <w:b w:val="0"/>
          <w:i/>
          <w:color w:val="5A5A5A"/>
          <w:sz w:val="16"/>
        </w:rPr>
        <w:t>≈ 2,620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We prefer to name who gets what, rather than promise to share widely.</w:t>
      </w:r>
    </w:p>
    <w:p>
      <w:pPr>
        <w:jc w:val="both"/>
      </w:pPr>
      <w:r>
        <w:rPr>
          <w:b w:val="0"/>
          <w:i w:val="0"/>
        </w:rPr>
        <w:t>Youth organisations, libraries and community centres in our own territory get the toolkit free, and in month 17 we sit down with the youth workers, librarians and community educators who will actually use it and go through it with them. This matters more here than it would elsewhere. Romania has no single national plan for media literacy and the rules are spread across different laws, so a tested set of free materials in the hands of people who already work with rural young people fills a gap that nobody else is filling.</w:t>
      </w:r>
    </w:p>
    <w:p>
      <w:pPr>
        <w:jc w:val="both"/>
      </w:pPr>
      <w:r>
        <w:rPr>
          <w:b w:val="0"/>
          <w:i w:val="0"/>
        </w:rPr>
        <w:t>Youth organisations elsewhere in Europe get it through the Erasmus+ Project Results Platform and through our partners’ own channels. KEA reaches more than 80 regional media outlets, a website with over 12,000 visitors a month and a newsletter with 800 subscribers. GGD reaches the volunteers it trains every year. We also use the LEADER and ELARD rural networks, where our association already works internationally. The target is simple and checkable: at least four organisations outside this partnership confirm in writing that they have used the toolkit.</w:t>
      </w:r>
    </w:p>
    <w:p>
      <w:pPr>
        <w:jc w:val="both"/>
      </w:pPr>
      <w:r>
        <w:rPr>
          <w:b w:val="0"/>
          <w:i w:val="0"/>
        </w:rPr>
        <w:t>Local institutions get the evaluation report and a short list of recommendations — what worked, what we would do differently, and what a municipality can do with very little money. It goes to our 14 partner municipalities and to the partner institutions in Türkiye and Greece.</w:t>
      </w:r>
    </w:p>
    <w:p>
      <w:pPr>
        <w:jc w:val="both"/>
      </w:pPr>
      <w:r>
        <w:rPr>
          <w:b w:val="0"/>
          <w:i w:val="0"/>
        </w:rPr>
        <w:t>The communities get the four media products, which stay online on all three organisations’ channels after the project closes. A two-minute video that takes apart a rumour people in the village actually heard gets watched. A report does not.</w:t>
      </w:r>
    </w:p>
    <w:p>
      <w:pPr>
        <w:jc w:val="both"/>
      </w:pPr>
      <w:r>
        <w:rPr>
          <w:b w:val="0"/>
          <w:i w:val="0"/>
        </w:rPr>
        <w:t>None of this needs new funding. Everything listed here happens inside activities the three organisations already run and already pay for.</w:t>
      </w:r>
    </w:p>
    <w:p>
      <w:pPr>
        <w:spacing w:after="200"/>
      </w:pPr>
      <w:r>
        <w:rPr>
          <w:b w:val="0"/>
          <w:i/>
          <w:color w:val="5A5A5A"/>
          <w:sz w:val="16"/>
        </w:rPr>
        <w:t>≈ 1,815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p>
      <w:pPr>
        <w:jc w:val="both"/>
      </w:pPr>
      <w:r>
        <w:rPr>
          <w:b w:val="0"/>
          <w:i w:val="0"/>
        </w:rPr>
        <w:t>We share the results with five groups, through our own channels and through local media. For each one we know what they get, who is responsible and how we will know it happened.</w:t>
      </w:r>
    </w:p>
    <w:p>
      <w:pPr>
        <w:jc w:val="both"/>
      </w:pPr>
      <w:r>
        <w:rPr>
          <w:b w:val="0"/>
          <w:i w:val="0"/>
        </w:rPr>
        <w:t>Young people in the three communities come first, because they are the ones the project is for. They get the four local initiatives the participants run themselves, the four media products, and the toolkit through youth centres, libraries and community centres. At least 80 young people are reached directly, and the group leaders are responsible for that number.</w:t>
      </w:r>
    </w:p>
    <w:p>
      <w:pPr>
        <w:jc w:val="both"/>
      </w:pPr>
      <w:r>
        <w:rPr>
          <w:b w:val="0"/>
          <w:i w:val="0"/>
        </w:rPr>
        <w:t>The communities of our territory come next. The 14 partner municipalities help us spread the word, and we use the community events our association holds every year. What they see is the public presentation the participants give on Day 7 in Beliș, and a “Digital Detectives” stand at two of our community events. The target is two community events, and the communication officer owns it.</w:t>
      </w:r>
    </w:p>
    <w:p>
      <w:pPr>
        <w:jc w:val="both"/>
      </w:pPr>
      <w:r>
        <w:rPr>
          <w:b w:val="0"/>
          <w:i w:val="0"/>
        </w:rPr>
        <w:t>Parents and guardians are a special case: not a target group of the project, but the people who inform, support and protect participants who are minors. Each country holds a parents’ meeting before consents are signed, every family receives the participant pack, and parents are invited to the local initiative and to the Day 7 presentation, where they hear it from their own child instead of from us.</w:t>
      </w:r>
    </w:p>
    <w:p>
      <w:pPr>
        <w:jc w:val="both"/>
      </w:pPr>
      <w:r>
        <w:rPr>
          <w:b w:val="0"/>
          <w:i w:val="0"/>
        </w:rPr>
        <w:t>Youth organisations and youth workers across Europe get the toolkit. We publish it on the Erasmus+ Project Results Platform, and it travels through KEA’s website and newsletter, GGD’s volunteer network, and the LEADER and ELARD rural networks. What we count is the toolkit published and freely downloadable, and at least four organisations outside the partnership confirming that they use it.</w:t>
      </w:r>
    </w:p>
    <w:p>
      <w:pPr>
        <w:jc w:val="both"/>
      </w:pPr>
      <w:r>
        <w:rPr>
          <w:b w:val="0"/>
          <w:i w:val="0"/>
        </w:rPr>
        <w:t>Local institutions and decision-makers get the evaluation report and the recommendations, in direct meetings and in presentations to local councils. At least four institutions informed, and the project manager is responsible.</w:t>
      </w:r>
    </w:p>
    <w:p>
      <w:pPr>
        <w:jc w:val="both"/>
      </w:pPr>
      <w:r>
        <w:rPr>
          <w:b w:val="0"/>
          <w:i w:val="0"/>
        </w:rPr>
        <w:t>Everything we do goes out on the three organisations’ own channels, and we agreed the rhythm in advance. Each partner posts on its own social media and on its own website — LAG Napoca Porolissum in Romanian and Hungarian, GGD in Turkish, KEA in Greek — and each also posts in English so the other two can share it. Something goes up at seven moments: the launch of the call in month 1, the selected group in month 2, the preparation sessions in months 3 and 4, the days of the exchange in August, the Day 7 presentation, each of the four local initiatives, and the toolkit in month 17. The material comes from the participants themselves, through the photo, video and diary roles they hold from month 3. Each organisation names one person responsible for its own channels in the partnership agreement, and we commit to at least 15 posts per organisation across the 18 months plus sharing each other’s. Three organisations posting to three countries is the cheapest reach we have.</w:t>
      </w:r>
    </w:p>
    <w:p>
      <w:pPr>
        <w:jc w:val="both"/>
      </w:pPr>
      <w:r>
        <w:rPr>
          <w:b w:val="0"/>
          <w:i w:val="0"/>
        </w:rPr>
        <w:t>We also cooperate with local media in all three countries, and we go to them with something to look at rather than with a press release about a grant. In Romania the contact already exists: we work with the county and local press every year at our community events and the festival in Beliș. We send a release in Romanian shortly before the exchange and immediately after the Day 7 presentation, and we invite journalists to Beliș for the presentation itself, where the participants do the talking and the staff do not. KEA sends the same material in Greek through the more than 80 regional media outlets it already reaches across the South Aegean, and GGD does the same in Turkish through its own local contacts. What we offer is a story a local newsroom can use: young people from their own area taking apart a rumour that circulated there. Our target is at least six items in local or regional media across the three countries, three of them in Romania, and the communication officer keeps the record. If a journalist wants to speak to a participant, the rule is the same as everywhere else: written parental consent first and the group leader present.</w:t>
      </w:r>
    </w:p>
    <w:p>
      <w:pPr>
        <w:jc w:val="both"/>
      </w:pPr>
      <w:r>
        <w:rPr>
          <w:b w:val="0"/>
          <w:i w:val="0"/>
        </w:rPr>
        <w:t>Two rules apply to everything we publish. Every product — toolkit, videos, presentations, press releases — carries the European Union emblem and the funding statement, as the Programme requires. And because all our participants are minors, nothing goes out until two people have seen it: the participant responsible for documentation prepares it, and the safeguarding focal point approves it. No recognisable photo of a minor is published without written consent, no personal data of other people appears, and we never publish where a minor lives or can be found. That rule is written into the group agreement on Day 1, and understanding why it exists is part of the learning.</w:t>
      </w:r>
    </w:p>
    <w:p>
      <w:pPr>
        <w:jc w:val="both"/>
      </w:pPr>
      <w:r>
        <w:rPr>
          <w:b w:val="0"/>
          <w:i w:val="0"/>
        </w:rPr>
        <w:t>On Day 1 the participants also get a short session on what Erasmus+ is and what stays open to them afterwards — the European Solidarity Corps, DiscoverEU, other exchanges — so this project is not the last time they hear the word.</w:t>
      </w:r>
    </w:p>
    <w:p>
      <w:pPr>
        <w:spacing w:after="200"/>
      </w:pPr>
      <w:r>
        <w:rPr>
          <w:b w:val="0"/>
          <w:i/>
          <w:color w:val="5A5A5A"/>
          <w:sz w:val="16"/>
        </w:rPr>
        <w:t>≈ 4,993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The participants are the ones doing the disseminating. They are not the subject of it.</w:t>
      </w:r>
    </w:p>
    <w:p>
      <w:pPr>
        <w:jc w:val="both"/>
      </w:pPr>
      <w:r>
        <w:rPr>
          <w:b w:val="0"/>
          <w:i w:val="0"/>
        </w:rPr>
        <w:t>They write the posts themselves. We do not draft something and ask them to approve it: the text, the photographs, the short videos and the captions are theirs, in their own language and in their own register, and an adult checks only what the safeguarding rule requires before anything goes out. During the mobility this runs by rotation. Each national group takes the content desk for a set of days and is responsible for everything published that day on all three organisations’ channels — the Romanian group on Days 1 and 4, the Turkish group on Days 2 and 5, the Greek group on Days 3 and 6, and all three together on Day 7, when the public presentation happens. Each group therefore produces content at least twice, nobody carries it for the whole week, and the three of them get to see how differently the same day can be told depending on who is telling it. This is a separate job from the mixed host team that runs each day, so the two do not compete for the same people.</w:t>
      </w:r>
    </w:p>
    <w:p>
      <w:pPr>
        <w:jc w:val="both"/>
      </w:pPr>
      <w:r>
        <w:rPr>
          <w:b w:val="0"/>
          <w:i w:val="0"/>
        </w:rPr>
        <w:t>The roles behind it are assigned in month 3, before anyone travels: photo and video, the activity diary, contact with the host community, energisers, timekeeping. Afterwards the participants make the four media products, design and lead the four local initiatives — choosing the date, the place, the audience and who does what — present in public on Day 7 to guests from Beliș, the neighbouring communes and the local press, where the adults speak only if someone asks them a question, and present the results again across the localities of the territory in months 16 and 17.</w:t>
      </w:r>
    </w:p>
    <w:p>
      <w:pPr>
        <w:jc w:val="both"/>
      </w:pPr>
      <w:r>
        <w:rPr>
          <w:b w:val="0"/>
          <w:i w:val="0"/>
        </w:rPr>
        <w:t>There is a practical reason for working this way and not only a principled one. When a fifteen-year-old stands in front of a room of other young people and shows them how to check whether a photograph is really what it claims to be, they are believed. It is also the moment the learning stops belonging to us and starts belonging to them.</w:t>
      </w:r>
    </w:p>
    <w:p>
      <w:pPr>
        <w:spacing w:after="200"/>
      </w:pPr>
      <w:r>
        <w:rPr>
          <w:b w:val="0"/>
          <w:i/>
          <w:color w:val="5A5A5A"/>
          <w:sz w:val="16"/>
        </w:rPr>
        <w:t>≈ 1,982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