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val="0"/>
                <w:i w:val="0"/>
                <w:sz w:val="19"/>
              </w:rPr>
              <w:t>Preparatory visits</w:t>
            </w:r>
          </w:p>
        </w:tc>
        <w:tc>
          <w:tcPr>
            <w:tcW w:type="dxa" w:w="2041"/>
          </w:tcPr>
          <w:p>
            <w:pPr>
              <w:spacing w:before="40" w:after="40"/>
            </w:pPr>
            <w:r/>
            <w:r>
              <w:rPr>
                <w:b w:val="0"/>
                <w:i w:val="0"/>
                <w:sz w:val="19"/>
              </w:rPr>
              <w:t>1</w:t>
            </w:r>
          </w:p>
        </w:tc>
        <w:tc>
          <w:tcPr>
            <w:tcW w:type="dxa" w:w="2041"/>
          </w:tcPr>
          <w:p>
            <w:pPr>
              <w:spacing w:before="40" w:after="40"/>
            </w:pPr>
            <w:r/>
            <w:r>
              <w:rPr>
                <w:b w:val="0"/>
                <w:i w:val="0"/>
                <w:sz w:val="19"/>
              </w:rPr>
              <w:t>5</w:t>
            </w:r>
          </w:p>
        </w:tc>
        <w:tc>
          <w:tcPr>
            <w:tcW w:type="dxa" w:w="2494"/>
          </w:tcPr>
          <w:p>
            <w:pPr>
              <w:spacing w:before="40" w:after="40"/>
            </w:pPr>
            <w:r/>
            <w:r>
              <w:rPr>
                <w:b w:val="0"/>
                <w:i w:val="0"/>
                <w:sz w:val="19"/>
              </w:rPr>
              <w:t>2</w:t>
            </w:r>
          </w:p>
        </w:tc>
      </w:tr>
      <w:tr>
        <w:tc>
          <w:tcPr>
            <w:tcW w:type="dxa" w:w="2835"/>
          </w:tcPr>
          <w:p>
            <w:pPr>
              <w:spacing w:before="40" w:after="40"/>
            </w:pPr>
            <w:r/>
            <w:r>
              <w:rPr>
                <w:b/>
                <w:i w:val="0"/>
                <w:sz w:val="19"/>
              </w:rPr>
              <w:t>Total</w:t>
            </w:r>
          </w:p>
        </w:tc>
        <w:tc>
          <w:tcPr>
            <w:tcW w:type="dxa" w:w="2041"/>
          </w:tcPr>
          <w:p>
            <w:pPr>
              <w:spacing w:before="40" w:after="40"/>
            </w:pPr>
            <w:r/>
            <w:r>
              <w:rPr>
                <w:b/>
                <w:i w:val="0"/>
                <w:sz w:val="19"/>
              </w:rPr>
              <w:t>2</w:t>
            </w:r>
          </w:p>
        </w:tc>
        <w:tc>
          <w:tcPr>
            <w:tcW w:type="dxa" w:w="2041"/>
          </w:tcPr>
          <w:p>
            <w:pPr>
              <w:spacing w:before="40" w:after="40"/>
            </w:pPr>
            <w:r/>
            <w:r>
              <w:rPr>
                <w:b/>
                <w:i w:val="0"/>
                <w:sz w:val="19"/>
              </w:rPr>
              <w:t>32</w:t>
            </w:r>
          </w:p>
        </w:tc>
        <w:tc>
          <w:tcPr>
            <w:tcW w:type="dxa" w:w="2494"/>
          </w:tcPr>
          <w:p>
            <w:pPr>
              <w:spacing w:before="40" w:after="40"/>
            </w:pPr>
            <w:r/>
            <w:r>
              <w:rPr>
                <w:b/>
                <w:i w:val="0"/>
                <w:sz w:val="19"/>
              </w:rPr>
              <w:t>15</w:t>
            </w:r>
          </w:p>
        </w:tc>
      </w:tr>
    </w:tbl>
    <w:p>
      <w:pPr>
        <w:spacing w:after="0"/>
      </w:pPr>
    </w:p>
    <w:p>
      <w:pPr>
        <w:spacing w:after="160"/>
      </w:pPr>
      <w:r>
        <w:rPr>
          <w:b w:val="0"/>
          <w:i/>
          <w:color w:val="5A5A5A"/>
          <w:sz w:val="17"/>
        </w:rPr>
        <w:t>27 persons in Activity 01 = 21 participants aged 14–17 + 4 group leaders + 2 facilitators, in three national groups of seven from Romania, Türkiye and Greece. The 5 persons of Activity 02 are the preparatory visit: two group leaders, two participants and the coordinator’s logistics officer. Four of them are already among those 27, so the totals count them twice — 32 persons means 28 distinct people, and 15 with fewer opportunities means 13 distinct young people.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30,494.00</w:t>
            </w:r>
          </w:p>
        </w:tc>
        <w:tc>
          <w:tcPr>
            <w:tcW w:type="dxa" w:w="5669"/>
          </w:tcPr>
          <w:p>
            <w:pPr>
              <w:spacing w:before="40" w:after="40"/>
            </w:pPr>
            <w:r/>
            <w:r>
              <w:rPr>
                <w:b w:val="0"/>
                <w:i w:val="0"/>
                <w:sz w:val="19"/>
              </w:rPr>
              <w:t>Of which 27,094.00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r>
              <w:rPr>
                <w:b w:val="0"/>
                <w:i w:val="0"/>
                <w:sz w:val="19"/>
              </w:rPr>
              <w:t>02</w:t>
            </w:r>
          </w:p>
        </w:tc>
        <w:tc>
          <w:tcPr>
            <w:tcW w:type="dxa" w:w="1474"/>
          </w:tcPr>
          <w:p>
            <w:pPr>
              <w:spacing w:before="40" w:after="40"/>
            </w:pPr>
            <w:r/>
            <w:r>
              <w:rPr>
                <w:b w:val="0"/>
                <w:i w:val="0"/>
                <w:sz w:val="19"/>
              </w:rPr>
              <w:t>Preparatory visit</w:t>
            </w:r>
          </w:p>
        </w:tc>
        <w:tc>
          <w:tcPr>
            <w:tcW w:type="dxa" w:w="3402"/>
          </w:tcPr>
          <w:p>
            <w:pPr>
              <w:spacing w:before="40" w:after="40"/>
            </w:pPr>
            <w:r/>
            <w:r>
              <w:rPr>
                <w:b w:val="0"/>
                <w:i w:val="0"/>
                <w:sz w:val="19"/>
              </w:rPr>
              <w:t>Preparatory visit to Beliș, linked to Activity 01</w:t>
            </w:r>
          </w:p>
        </w:tc>
        <w:tc>
          <w:tcPr>
            <w:tcW w:type="dxa" w:w="1361"/>
          </w:tcPr>
          <w:p>
            <w:pPr>
              <w:spacing w:before="40" w:after="40"/>
            </w:pPr>
            <w:r/>
            <w:r>
              <w:rPr>
                <w:b w:val="0"/>
                <w:i w:val="0"/>
                <w:sz w:val="19"/>
              </w:rPr>
              <w:t>—</w:t>
            </w:r>
          </w:p>
        </w:tc>
        <w:tc>
          <w:tcPr>
            <w:tcW w:type="dxa" w:w="1134"/>
          </w:tcPr>
          <w:p>
            <w:pPr>
              <w:spacing w:before="40" w:after="40"/>
            </w:pPr>
            <w:r/>
            <w:r>
              <w:rPr>
                <w:b w:val="0"/>
                <w:i w:val="0"/>
                <w:sz w:val="19"/>
              </w:rPr>
              <w:t>5</w:t>
            </w:r>
          </w:p>
        </w:tc>
        <w:tc>
          <w:tcPr>
            <w:tcW w:type="dxa" w:w="1361"/>
          </w:tcPr>
          <w:p>
            <w:pPr>
              <w:spacing w:before="40" w:after="40"/>
            </w:pPr>
            <w:r/>
            <w:r>
              <w:rPr>
                <w:b w:val="0"/>
                <w:i w:val="0"/>
                <w:sz w:val="19"/>
              </w:rPr>
              <w:t>3,400.00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32</w:t>
            </w:r>
          </w:p>
        </w:tc>
        <w:tc>
          <w:tcPr>
            <w:tcW w:type="dxa" w:w="1361"/>
          </w:tcPr>
          <w:p>
            <w:pPr>
              <w:spacing w:before="40" w:after="40"/>
            </w:pPr>
            <w:r/>
            <w:r>
              <w:rPr>
                <w:b/>
                <w:i w:val="0"/>
                <w:sz w:val="19"/>
              </w:rPr>
              <w:t>30,494.00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Activity 02, the preparatory visit, does not appear in the two tables above on purpose: its 3,400.00 EUR is a project-level budget line, not part of an activity grant. That is why the activity grant is 27,094.00 while the project total is 30,494.00. If the form places preparatory visits inside the per-activity budget instead, the figures are the same and only the row moves.</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logistics officer then verifies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4,408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Activity 02 — Preparatory visit</w:t>
      </w:r>
    </w:p>
    <w:p>
      <w:pPr>
        <w:spacing w:after="160"/>
      </w:pPr>
      <w:r>
        <w:rPr>
          <w:b w:val="0"/>
          <w:i/>
          <w:color w:val="5A5A5A"/>
          <w:sz w:val="17"/>
        </w:rPr>
        <w:t>The wording of the questions in this block is reconstructed: the blank form export does not carry the preparatory-visit sub-form, which the live form generates only once an activity of this type has been added. Check the labels against the form on screen before entering the text; the content itself does not change.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02</w:t>
            </w:r>
          </w:p>
        </w:tc>
        <w:tc>
          <w:tcPr>
            <w:tcW w:type="dxa" w:w="2041"/>
          </w:tcPr>
          <w:p>
            <w:pPr>
              <w:spacing w:before="40" w:after="40"/>
            </w:pPr>
            <w:r/>
            <w:r>
              <w:rPr>
                <w:b w:val="0"/>
                <w:i w:val="0"/>
                <w:sz w:val="19"/>
              </w:rPr>
              <w:t>Linked to activity</w:t>
            </w:r>
          </w:p>
        </w:tc>
        <w:tc>
          <w:tcPr>
            <w:tcW w:type="dxa" w:w="2665"/>
          </w:tcPr>
          <w:p>
            <w:pPr>
              <w:spacing w:before="40" w:after="40"/>
            </w:pPr>
            <w:r/>
            <w:r>
              <w:rPr>
                <w:b w:val="0"/>
                <w:i w:val="0"/>
                <w:sz w:val="19"/>
              </w:rPr>
              <w:t>01 — Youth exchange</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Preparatory visit</w:t>
            </w:r>
          </w:p>
        </w:tc>
        <w:tc>
          <w:tcPr>
            <w:tcW w:type="dxa" w:w="2041"/>
          </w:tcPr>
          <w:p>
            <w:pPr>
              <w:spacing w:before="40" w:after="40"/>
            </w:pPr>
            <w:r/>
            <w:r>
              <w:rPr>
                <w:b w:val="0"/>
                <w:i w:val="0"/>
                <w:sz w:val="19"/>
              </w:rPr>
              <w:t>Leading organisation</w:t>
            </w:r>
          </w:p>
        </w:tc>
        <w:tc>
          <w:tcPr>
            <w:tcW w:type="dxa" w:w="2665"/>
          </w:tcPr>
          <w:p>
            <w:pPr>
              <w:spacing w:before="40" w:after="40"/>
            </w:pPr>
            <w:r/>
            <w:r>
              <w:rPr>
                <w:b w:val="0"/>
                <w:i w:val="0"/>
                <w:sz w:val="19"/>
              </w:rPr>
              <w:t>ASOCIAȚIA GRUPUL DE ACȚIUNE LOCALĂ NAPOCA POROLISSUM (E10181755)</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16/06/2027</w:t>
            </w:r>
          </w:p>
        </w:tc>
        <w:tc>
          <w:tcPr>
            <w:tcW w:type="dxa" w:w="2041"/>
          </w:tcPr>
          <w:p>
            <w:pPr>
              <w:spacing w:before="40" w:after="40"/>
            </w:pPr>
            <w:r/>
            <w:r>
              <w:rPr>
                <w:b w:val="0"/>
                <w:i w:val="0"/>
                <w:sz w:val="19"/>
              </w:rPr>
              <w:t>End date</w:t>
            </w:r>
          </w:p>
        </w:tc>
        <w:tc>
          <w:tcPr>
            <w:tcW w:type="dxa" w:w="2665"/>
          </w:tcPr>
          <w:p>
            <w:pPr>
              <w:spacing w:before="40" w:after="40"/>
            </w:pPr>
            <w:r/>
            <w:r>
              <w:rPr>
                <w:b w:val="0"/>
                <w:i w:val="0"/>
                <w:sz w:val="19"/>
              </w:rPr>
              <w:t>17/06/2027</w:t>
            </w:r>
          </w:p>
        </w:tc>
      </w:tr>
      <w:tr>
        <w:tc>
          <w:tcPr>
            <w:tcW w:type="dxa" w:w="2041"/>
          </w:tcPr>
          <w:p>
            <w:pPr>
              <w:spacing w:before="40" w:after="40"/>
            </w:pPr>
            <w:r/>
            <w:r>
              <w:rPr>
                <w:b w:val="0"/>
                <w:i w:val="0"/>
                <w:sz w:val="19"/>
              </w:rPr>
              <w:t>Duration</w:t>
            </w:r>
          </w:p>
        </w:tc>
        <w:tc>
          <w:tcPr>
            <w:tcW w:type="dxa" w:w="2665"/>
          </w:tcPr>
          <w:p>
            <w:pPr>
              <w:spacing w:before="40" w:after="40"/>
            </w:pPr>
            <w:r/>
            <w:r>
              <w:rPr>
                <w:b w:val="0"/>
                <w:i w:val="0"/>
                <w:sz w:val="19"/>
              </w:rPr>
              <w:t>2 days on site, in month 3 of the project</w:t>
            </w:r>
          </w:p>
        </w:tc>
        <w:tc>
          <w:tcPr>
            <w:tcW w:type="dxa" w:w="2041"/>
          </w:tcPr>
          <w:p>
            <w:pPr>
              <w:spacing w:before="40" w:after="40"/>
            </w:pPr>
            <w:r/>
            <w:r>
              <w:rPr>
                <w:b w:val="0"/>
                <w:i w:val="0"/>
                <w:sz w:val="19"/>
              </w:rPr>
              <w:t>Venue</w:t>
            </w:r>
          </w:p>
        </w:tc>
        <w:tc>
          <w:tcPr>
            <w:tcW w:type="dxa" w:w="2665"/>
          </w:tcPr>
          <w:p>
            <w:pPr>
              <w:spacing w:before="40" w:after="40"/>
            </w:pPr>
            <w:r/>
            <w:r>
              <w:rPr>
                <w:b w:val="0"/>
                <w:i w:val="0"/>
                <w:sz w:val="19"/>
              </w:rPr>
              <w:t>Beliș (Cluj County), Romania</w:t>
            </w:r>
          </w:p>
        </w:tc>
      </w:tr>
      <w:tr>
        <w:tc>
          <w:tcPr>
            <w:tcW w:type="dxa" w:w="2041"/>
          </w:tcPr>
          <w:p>
            <w:pPr>
              <w:spacing w:before="40" w:after="40"/>
            </w:pPr>
            <w:r/>
            <w:r>
              <w:rPr>
                <w:b w:val="0"/>
                <w:i w:val="0"/>
                <w:sz w:val="19"/>
              </w:rPr>
              <w:t>No. of participants</w:t>
            </w:r>
          </w:p>
        </w:tc>
        <w:tc>
          <w:tcPr>
            <w:tcW w:type="dxa" w:w="2665"/>
          </w:tcPr>
          <w:p>
            <w:pPr>
              <w:spacing w:before="40" w:after="40"/>
            </w:pPr>
            <w:r/>
            <w:r>
              <w:rPr>
                <w:b w:val="0"/>
                <w:i w:val="0"/>
                <w:sz w:val="19"/>
              </w:rPr>
              <w:t>5</w:t>
            </w:r>
          </w:p>
        </w:tc>
        <w:tc>
          <w:tcPr>
            <w:tcW w:type="dxa" w:w="2041"/>
          </w:tcPr>
          <w:p>
            <w:pPr>
              <w:spacing w:before="40" w:after="40"/>
            </w:pPr>
            <w:r/>
            <w:r>
              <w:rPr>
                <w:b w:val="0"/>
                <w:i w:val="0"/>
                <w:sz w:val="19"/>
              </w:rPr>
              <w:t>Of which young people</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2</w:t>
            </w:r>
          </w:p>
        </w:tc>
        <w:tc>
          <w:tcPr>
            <w:tcW w:type="dxa" w:w="2041"/>
          </w:tcPr>
          <w:p>
            <w:pPr>
              <w:spacing w:before="40" w:after="40"/>
            </w:pPr>
            <w:r/>
            <w:r>
              <w:rPr>
                <w:b w:val="0"/>
                <w:i w:val="0"/>
                <w:sz w:val="19"/>
              </w:rPr>
              <w:t>Total grant</w:t>
            </w:r>
          </w:p>
        </w:tc>
        <w:tc>
          <w:tcPr>
            <w:tcW w:type="dxa" w:w="2665"/>
          </w:tcPr>
          <w:p>
            <w:pPr>
              <w:spacing w:before="40" w:after="40"/>
            </w:pPr>
            <w:r/>
            <w:r>
              <w:rPr>
                <w:b/>
                <w:i w:val="0"/>
                <w:sz w:val="19"/>
              </w:rPr>
              <w:t>3,400.00 EUR</w:t>
            </w:r>
            <w:r>
              <w:rPr>
                <w:b w:val="0"/>
                <w:i w:val="0"/>
                <w:sz w:val="19"/>
              </w:rPr>
              <w:t xml:space="preserve"> (680 × 5)</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701"/>
            <w:shd w:val="clear" w:color="auto" w:fill="E8EEF7"/>
          </w:tcPr>
          <w:p>
            <w:pPr>
              <w:spacing w:before="40" w:after="40"/>
            </w:pPr>
            <w:r/>
            <w:r>
              <w:rPr>
                <w:b/>
                <w:i w:val="0"/>
                <w:color w:val="003D82"/>
                <w:sz w:val="17"/>
              </w:rPr>
              <w:t>Organisation</w:t>
            </w:r>
          </w:p>
        </w:tc>
        <w:tc>
          <w:tcPr>
            <w:tcW w:type="dxa" w:w="567"/>
            <w:shd w:val="clear" w:color="auto" w:fill="E8EEF7"/>
          </w:tcPr>
          <w:p>
            <w:pPr>
              <w:spacing w:before="40" w:after="40"/>
            </w:pPr>
            <w:r/>
            <w:r>
              <w:rPr>
                <w:b/>
                <w:i w:val="0"/>
                <w:color w:val="003D82"/>
                <w:sz w:val="17"/>
              </w:rPr>
              <w:t>Persons</w:t>
            </w:r>
          </w:p>
        </w:tc>
        <w:tc>
          <w:tcPr>
            <w:tcW w:type="dxa" w:w="2948"/>
            <w:shd w:val="clear" w:color="auto" w:fill="E8EEF7"/>
          </w:tcPr>
          <w:p>
            <w:pPr>
              <w:spacing w:before="40" w:after="40"/>
            </w:pPr>
            <w:r/>
            <w:r>
              <w:rPr>
                <w:b/>
                <w:i w:val="0"/>
                <w:color w:val="003D82"/>
                <w:sz w:val="17"/>
              </w:rPr>
              <w:t>Who travels</w:t>
            </w:r>
          </w:p>
        </w:tc>
        <w:tc>
          <w:tcPr>
            <w:tcW w:type="dxa" w:w="4195"/>
            <w:shd w:val="clear" w:color="auto" w:fill="E8EEF7"/>
          </w:tcPr>
          <w:p>
            <w:pPr>
              <w:spacing w:before="40" w:after="40"/>
            </w:pPr>
            <w:r/>
            <w:r>
              <w:rPr>
                <w:b/>
                <w:i w:val="0"/>
                <w:color w:val="003D82"/>
                <w:sz w:val="17"/>
              </w:rPr>
              <w:t>Why this person and not another</w:t>
            </w:r>
          </w:p>
        </w:tc>
      </w:tr>
      <w:tr>
        <w:tc>
          <w:tcPr>
            <w:tcW w:type="dxa" w:w="1701"/>
          </w:tcPr>
          <w:p>
            <w:pPr>
              <w:spacing w:before="40" w:after="40"/>
            </w:pPr>
            <w:r/>
            <w:r>
              <w:rPr>
                <w:b w:val="0"/>
                <w:i w:val="0"/>
                <w:sz w:val="17"/>
              </w:rPr>
              <w:t>LAG Napoca Porolissum (RO)</w:t>
            </w:r>
          </w:p>
          <w:p>
            <w:pPr>
              <w:spacing w:before="0" w:after="40"/>
            </w:pPr>
            <w:r>
              <w:rPr>
                <w:b w:val="0"/>
                <w:i/>
                <w:sz w:val="17"/>
              </w:rPr>
              <w:t>host</w:t>
            </w:r>
          </w:p>
        </w:tc>
        <w:tc>
          <w:tcPr>
            <w:tcW w:type="dxa" w:w="567"/>
          </w:tcPr>
          <w:p>
            <w:pPr>
              <w:spacing w:before="40" w:after="40"/>
            </w:pPr>
            <w:r/>
            <w:r>
              <w:rPr>
                <w:b w:val="0"/>
                <w:i w:val="0"/>
                <w:sz w:val="17"/>
              </w:rPr>
              <w:t>1</w:t>
            </w:r>
          </w:p>
        </w:tc>
        <w:tc>
          <w:tcPr>
            <w:tcW w:type="dxa" w:w="2948"/>
          </w:tcPr>
          <w:p>
            <w:pPr>
              <w:spacing w:before="40" w:after="40"/>
            </w:pPr>
            <w:r/>
            <w:r>
              <w:rPr>
                <w:b w:val="0"/>
                <w:i w:val="0"/>
                <w:sz w:val="17"/>
              </w:rPr>
              <w:t>Iulia Fătu, responsible for finance and logistics</w:t>
            </w:r>
          </w:p>
        </w:tc>
        <w:tc>
          <w:tcPr>
            <w:tcW w:type="dxa" w:w="4195"/>
          </w:tcPr>
          <w:p>
            <w:pPr>
              <w:spacing w:before="40" w:after="40"/>
            </w:pPr>
            <w:r/>
            <w:r>
              <w:rPr>
                <w:b w:val="0"/>
                <w:i w:val="0"/>
                <w:sz w:val="17"/>
              </w:rPr>
              <w:t>She writes the venue risk assessment and she is the one who contracts the unit, so she is the one who has to have stood in the rooms. Nothing is signed before she has seen it.</w:t>
            </w:r>
          </w:p>
        </w:tc>
      </w:tr>
      <w:tr>
        <w:tc>
          <w:tcPr>
            <w:tcW w:type="dxa" w:w="1701"/>
          </w:tcPr>
          <w:p>
            <w:pPr>
              <w:spacing w:before="40" w:after="40"/>
            </w:pPr>
            <w:r/>
            <w:r>
              <w:rPr>
                <w:b w:val="0"/>
                <w:i w:val="0"/>
                <w:sz w:val="17"/>
              </w:rPr>
              <w:t>Genç Gönüllüler Derneği (TR)</w:t>
            </w:r>
          </w:p>
        </w:tc>
        <w:tc>
          <w:tcPr>
            <w:tcW w:type="dxa" w:w="567"/>
          </w:tcPr>
          <w:p>
            <w:pPr>
              <w:spacing w:before="40" w:after="40"/>
            </w:pPr>
            <w:r/>
            <w:r>
              <w:rPr>
                <w:b w:val="0"/>
                <w:i w:val="0"/>
                <w:sz w:val="17"/>
              </w:rPr>
              <w:t>2</w:t>
            </w:r>
          </w:p>
        </w:tc>
        <w:tc>
          <w:tcPr>
            <w:tcW w:type="dxa" w:w="2948"/>
          </w:tcPr>
          <w:p>
            <w:pPr>
              <w:spacing w:before="40" w:after="40"/>
            </w:pPr>
            <w:r/>
            <w:r>
              <w:rPr>
                <w:b w:val="0"/>
                <w:i w:val="0"/>
                <w:sz w:val="17"/>
              </w:rPr>
              <w:t>M. Talha Serenli, the group leader who will accompany the Turkish group in August, plus one young person selected for the exchange</w:t>
            </w:r>
          </w:p>
        </w:tc>
        <w:tc>
          <w:tcPr>
            <w:tcW w:type="dxa" w:w="4195"/>
          </w:tcPr>
          <w:p>
            <w:pPr>
              <w:spacing w:before="40" w:after="40"/>
            </w:pPr>
            <w:r/>
            <w:r>
              <w:rPr>
                <w:b w:val="0"/>
                <w:i w:val="0"/>
                <w:sz w:val="17"/>
              </w:rPr>
              <w:t>The adult who will be responsible for seven minors in a foreign country sees the building, the floors and the route first. The young person goes home and tells the other six what it is actually like.</w:t>
            </w:r>
          </w:p>
        </w:tc>
      </w:tr>
      <w:tr>
        <w:tc>
          <w:tcPr>
            <w:tcW w:type="dxa" w:w="1701"/>
          </w:tcPr>
          <w:p>
            <w:pPr>
              <w:spacing w:before="40" w:after="40"/>
            </w:pPr>
            <w:r/>
            <w:r>
              <w:rPr>
                <w:b w:val="0"/>
                <w:i w:val="0"/>
                <w:sz w:val="17"/>
              </w:rPr>
              <w:t>KEA IM Syrou (EL)</w:t>
            </w:r>
          </w:p>
        </w:tc>
        <w:tc>
          <w:tcPr>
            <w:tcW w:type="dxa" w:w="567"/>
          </w:tcPr>
          <w:p>
            <w:pPr>
              <w:spacing w:before="40" w:after="40"/>
            </w:pPr>
            <w:r/>
            <w:r>
              <w:rPr>
                <w:b w:val="0"/>
                <w:i w:val="0"/>
                <w:sz w:val="17"/>
              </w:rPr>
              <w:t>2</w:t>
            </w:r>
          </w:p>
        </w:tc>
        <w:tc>
          <w:tcPr>
            <w:tcW w:type="dxa" w:w="2948"/>
          </w:tcPr>
          <w:p>
            <w:pPr>
              <w:spacing w:before="40" w:after="40"/>
            </w:pPr>
            <w:r/>
            <w:r>
              <w:rPr>
                <w:b w:val="0"/>
                <w:i w:val="0"/>
                <w:sz w:val="17"/>
              </w:rPr>
              <w:t>Evgenia Kalogeropoulou, social worker and Greek group leader, plus one young person selected for the exchange</w:t>
            </w:r>
          </w:p>
        </w:tc>
        <w:tc>
          <w:tcPr>
            <w:tcW w:type="dxa" w:w="4195"/>
          </w:tcPr>
          <w:p>
            <w:pPr>
              <w:spacing w:before="40" w:after="40"/>
            </w:pPr>
            <w:r/>
            <w:r>
              <w:rPr>
                <w:b w:val="0"/>
                <w:i w:val="0"/>
                <w:sz w:val="17"/>
              </w:rPr>
              <w:t>She co-designs the Day 5 community dialogue, so she walks the village and meets the residents beforehand. The young person does the same job for the Greek group as the Turkish one does for theirs.</w:t>
            </w:r>
          </w:p>
        </w:tc>
      </w:tr>
      <w:tr>
        <w:tc>
          <w:tcPr>
            <w:tcW w:type="dxa" w:w="1701"/>
          </w:tcPr>
          <w:p>
            <w:pPr>
              <w:spacing w:before="40" w:after="40"/>
            </w:pPr>
            <w:r/>
            <w:r>
              <w:rPr>
                <w:b/>
                <w:i w:val="0"/>
                <w:sz w:val="17"/>
              </w:rPr>
              <w:t>Total</w:t>
            </w:r>
          </w:p>
        </w:tc>
        <w:tc>
          <w:tcPr>
            <w:tcW w:type="dxa" w:w="567"/>
          </w:tcPr>
          <w:p>
            <w:pPr>
              <w:spacing w:before="40" w:after="40"/>
            </w:pPr>
            <w:r/>
            <w:r>
              <w:rPr>
                <w:b/>
                <w:i w:val="0"/>
                <w:sz w:val="17"/>
              </w:rPr>
              <w:t>5</w:t>
            </w:r>
          </w:p>
        </w:tc>
        <w:tc>
          <w:tcPr>
            <w:tcW w:type="dxa" w:w="2948"/>
          </w:tcPr>
          <w:p>
            <w:pPr>
              <w:spacing w:before="40" w:after="40"/>
            </w:pPr>
            <w:r/>
          </w:p>
        </w:tc>
        <w:tc>
          <w:tcPr>
            <w:tcW w:type="dxa" w:w="4195"/>
          </w:tcPr>
          <w:p>
            <w:pPr>
              <w:spacing w:before="40" w:after="40"/>
            </w:pPr>
            <w:r/>
            <w:r>
              <w:rPr>
                <w:b w:val="0"/>
                <w:i w:val="0"/>
                <w:sz w:val="17"/>
              </w:rPr>
              <w:t>Four of the five are already counted among the 27 persons of Activity 01 — two group leaders and two participants. Only the coordinator’s logistics officer is additional, so the project involves 28 distinct people in all.</w:t>
            </w:r>
          </w:p>
        </w:tc>
      </w:tr>
    </w:tbl>
    <w:p>
      <w:pPr>
        <w:spacing w:after="0"/>
      </w:pPr>
    </w:p>
    <w:p>
      <w:pPr>
        <w:spacing w:after="160"/>
      </w:pPr>
      <w:r>
        <w:rPr>
          <w:b w:val="0"/>
          <w:i/>
          <w:color w:val="5A5A5A"/>
          <w:sz w:val="17"/>
        </w:rPr>
        <w:t>[TO CONFIRM against the 2026 Programme Guide before submission. First, the maximum number of participants funded per preparatory visit: if it is capped below five, this request falls accordingly. Second, whether the hosting organisation’s own local staff member may be counted at all, since the 680 EUR unit cost covers travel and subsistence and a local participant incurs neither. If only the four travelling participants are eligible, the line becomes 2,720.00 and the project total 29,814.00 instead of 30,494.00. The activity grant for Activity 01 is unaffected either way, because the preparatory visit sits at project level.]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justify the need for a preparatory visit and describe what will be done during it.</w:t>
            </w:r>
          </w:p>
        </w:tc>
      </w:tr>
    </w:tbl>
    <w:p>
      <w:pPr>
        <w:spacing w:after="0"/>
      </w:pPr>
    </w:p>
    <w:p>
      <w:pPr>
        <w:jc w:val="both"/>
      </w:pPr>
      <w:r>
        <w:rPr>
          <w:b w:val="0"/>
          <w:i w:val="0"/>
        </w:rPr>
        <w:t>We ask for this visit on four grounds, and the first three are the ones the Programme itself recognises.</w:t>
      </w:r>
    </w:p>
    <w:p>
      <w:pPr>
        <w:jc w:val="both"/>
      </w:pPr>
      <w:r>
        <w:rPr>
          <w:b w:val="0"/>
          <w:i w:val="0"/>
        </w:rPr>
        <w:t>All twenty-one participants are minors. We are bringing fourteen- to seventeen-year-olds from two other countries into a mountain commune of a few hundred people, and the adults who will be responsible for them at night need to have seen the building before they agree to it. Second, both sending organisations are new working relationships for us: we have never worked with GGD or with KEA before, and a partnership that has only ever met online is exactly the kind that discovers its misunderstandings in August. Third, a venue’s suitability cannot be assessed from photographs — and we are not speaking generally here. The expert assessment of our previous KA152 application said in so many words that it did not describe measures for the safety of the accommodation and the activity spaces. This visit is where that gap is closed properly rather than promised in a sentence.</w:t>
      </w:r>
    </w:p>
    <w:p>
      <w:pPr>
        <w:jc w:val="both"/>
      </w:pPr>
      <w:r>
        <w:rPr>
          <w:b w:val="0"/>
          <w:i w:val="0"/>
        </w:rPr>
        <w:t>The fourth ground is inclusion, and it is the reason two of the five travellers are young people rather than staff. In our survey 12.5% of the young people said what stops them is lack of self-confidence. A fifteen-year-old who has seen the rooms, walked the village and met the people who will be there, and who then describes it to the other six in their own language, removes more of that fear than any amount of reassurance from an adult. The young person from each sending group is chosen from among those who declared a situation limiting their access to opportunities, deliberately.</w:t>
      </w:r>
    </w:p>
    <w:p>
      <w:pPr>
        <w:jc w:val="both"/>
      </w:pPr>
      <w:r>
        <w:rPr>
          <w:b w:val="0"/>
          <w:i w:val="0"/>
        </w:rPr>
        <w:t>The first day is spent on the venue and the programme. The written risk assessment is checked against the building itself: fire safety certification and evacuation routes, the state of the electrical installations and heating, the security of doors, windows and balconies, lighting of the outdoor areas, separation of the participants’ accommodation from any unrelated guests, and the rooms in which minors will sleep with group leaders on the same floors. The internet connection is measured in the plenary room and in the four small-team spaces, because a programme about checking things online cannot run on a connection that drops; mobile coverage is tested across the site; and the distance and travel time to the nearest medical facility and hospital are driven, not looked up. Then the three organisations sit down together and finish the programme: GGD confirms what it leads on Day 3 and Day 6 and which of its staff will be Facilitator 2, KEA confirms the Day 5 dialogue method and the local-initiative template, the coordinator confirms Days 1, 2, 4 and 7, and the timetable is fixed session by session. The three measurement instruments are agreed and the month 4 observer calibration is scheduled. The safeguarding arrangements, the night-duty rota, the emergency protocol and the sensitive-content protocol are put in writing while everyone is in the same room.</w:t>
      </w:r>
    </w:p>
    <w:p>
      <w:pPr>
        <w:jc w:val="both"/>
      </w:pPr>
      <w:r>
        <w:rPr>
          <w:b w:val="0"/>
          <w:i w:val="0"/>
        </w:rPr>
        <w:t>The second day belongs to the host community and to the practical arrangements. We walk the route of the Day 5 community day in and around Beliș, meet the mayor’s office and the residents who have agreed to take part in the dialogue, and agree the timing and the group transport on the spot. The two young people see the venue, the village and the rooms, and what they say is written into the final programme — that is what they are there for. Then the logistics: meals and dietary requirements with the local producers, insurance for all 27 persons, the visa file and its timetable for the Turkish group, the ferry and flight timings for the Greek group and its four eligible travel days, and the domestic transport plan from each participant’s own home. The visit closes with written minutes carrying decisions, owners and deadlines, the signature of the partnership agreement annexes on safeguarding and on the division of tasks, and the four joint online preparation sessions of months 3 and 4 fixed in the calendar.</w:t>
      </w:r>
    </w:p>
    <w:p>
      <w:pPr>
        <w:jc w:val="both"/>
      </w:pPr>
      <w:r>
        <w:rPr>
          <w:b w:val="0"/>
          <w:i w:val="0"/>
        </w:rPr>
        <w:t>The visit produces five things we can point to: the venue confirmed in writing or rejected in time to find another, the timetable finalised session by session, the three measurement instruments agreed, the safeguarding package signed, and two young people who go home and tell their groups what August will actually look like. The full programme of both days is annexed on the second sheet of the project timetable.</w:t>
      </w:r>
    </w:p>
    <w:p>
      <w:pPr>
        <w:spacing w:after="200"/>
      </w:pPr>
      <w:r>
        <w:rPr>
          <w:b w:val="0"/>
          <w:i/>
          <w:color w:val="5A5A5A"/>
          <w:sz w:val="16"/>
        </w:rPr>
        <w:t>≈ 4,387 characters (assumed form limit 5,000 — within limit)</w:t>
      </w:r>
    </w:p>
    <w:p>
      <w:r>
        <w:br w:type="page"/>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of the three obstacles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through the inclusion support category on a dedicated budget line, so that a young person from Măguri-Răcătău, or one who must take an inter-island ferry before reaching an airport, does not have to solve the first leg alone. </w:t>
      </w: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accompanying adults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Two additional travel days are eligible for the Turkish and Greek flows under green travel, and we use them so that no minor travels overnight to save a day. And the activity itself is held in Beliș, inside the territory, because 58.5% of the young people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reimbursement model in which a family pays first. The rule is in the call from the day it is published. Inclusion support for organisations, 125 EUR for each of the 13 concerned, pays for what reaching them costs: the in-person visits, the four-language call, the parents’ version and the extra preparation time. Inclusion support for participants is requested at real cost on separate dedicated lines, each justified individually, for a documented need such as an extra ferry leg, additional domestic transport or an accessibility cost. Nothing in the programme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full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communication group is active two months before departure; and the four online preparation sessions are held in mixed national composition, so the team a participant will work with in August has already met them. Language is deliberately kept out of the door: English is not a selection criterion, A2 is accepted, the glossary is built in four languages, methods are visual and practical, and group leaders interpret on request — a test at the door would simply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means the material carrying ethnic, gender and migration stereotypes is pre-screened and nobody from a targeted community is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not read off a booking page, together with the connection test, the evacuation arrangements and the distance to the nearest medical facility. After selection, the confidential specific-needs sheet allows a participant to declare a health, dietary or accessibility need; the venue check is then repeated against that need, and the support is requested at real cost on its own line.</w:t>
      </w:r>
    </w:p>
    <w:p>
      <w:pPr>
        <w:spacing w:after="200"/>
      </w:pPr>
      <w:r>
        <w:rPr>
          <w:b w:val="0"/>
          <w:i/>
          <w:color w:val="5A5A5A"/>
          <w:sz w:val="16"/>
        </w:rPr>
        <w:t>≈ 4,950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the territory in month 3, with two people from each of the two sending organisations — one of them a young person — plus one staff member from the coordinating organisation, five people in total. That staff member contributes to the on-site verification of the logistical and safety arrangements and finalises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5,458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The three instruments that judge this project exist in writing now, at application stage, rather than being invented once the results are in. Every indicator we use has a baseline, a target, an instrument, a named owner and a fixed moment of measurement.</w:t>
      </w:r>
    </w:p>
    <w:p>
      <w:pPr>
        <w:jc w:val="both"/>
      </w:pPr>
      <w:r>
        <w:rPr>
          <w:b w:val="0"/>
          <w:i w:val="0"/>
        </w:rPr>
        <w:t>The first instrument is a practical verification test of fifteen items worth thirty points, taken online on a closed device: Form A in month 2, before any learning activity, and the equivalent Form B in month 18, scored by the same formula at both ends. It is what tells us whether objective O1 was met — a rise of at least 30% in the mean score for at least 17 of the 21 participants. The second is an observation grid on which four named techniques are scored 0 to 2 each: identifying the source and the author, checking the date and the original context, comparing against two independent sources, and testing an image or a claim. It is applied in session D4.1 on Day 4 by six calibrated observers — the four group leaders and the two facilitators — with ten of the twenty-one double-scored independently and the Learning Programme Coordinator moderating but not scoring; it is what tells us whether O2 was met, again for at least 17 of 21. The third is a ten-minute exercise at the close of each of the four local initiatives: a young person who attended names two distinct checks, carries one out and draws a conclusion that follows from it. All three conditions, or it does not count. That is how O3 is judged — at least 80 young people reached, at least 20 per community, and at least 70% of them able to apply two simple methods.</w:t>
      </w:r>
    </w:p>
    <w:p>
      <w:pPr>
        <w:jc w:val="both"/>
      </w:pPr>
      <w:r>
        <w:rPr>
          <w:b w:val="0"/>
          <w:i w:val="0"/>
        </w:rPr>
        <w:t>Two further measures matter more to us than the headline scores, because they go to the actual problem. The test carries a separate four-point sub-score on the two items that depend on overconfidence rather than knowledge, and we expect it to move proportionally more than the total; and an unscored question asking how good participants believe they are is converted onto the test scale, so the distance between believed and actual ability is reported as a number in month 2 and again in month 18. Our starting point is a group that already thinks it can spot a fake, so a project that raised the score while leaving that gap untouched would have missed the point.</w:t>
      </w:r>
    </w:p>
    <w:p>
      <w:pPr>
        <w:jc w:val="both"/>
      </w:pPr>
      <w:r>
        <w:rPr>
          <w:b w:val="0"/>
          <w:i w:val="0"/>
        </w:rPr>
        <w:t>Neither instrument is used on the cohort untested. Before month 2 both are piloted with five to eight young people aged 14–17 from the territory who are not project participants, and any item that more than 80% or fewer than 10% of them answer correctly is rewritten, because an item everyone gets right and an item nobody gets right tell us nothing. The baseline is then taken in month 2 and the recalibration rule applied once, on the group mean, with the decision written down at the time. In month 4 all six observers score the same recorded sequence independently and compare, targeting exact agreement on at least 80% of judgements; if that is not reached the grid is simplified before the mobility and the decision minuted — before anyone has seen a result, never after.</w:t>
      </w:r>
    </w:p>
    <w:p>
      <w:pPr>
        <w:jc w:val="both"/>
      </w:pPr>
      <w:r>
        <w:rPr>
          <w:b w:val="0"/>
          <w:i w:val="0"/>
        </w:rPr>
        <w:t>A second set of checks at selection is as binding as the learning ones: at least 63 applications for the 21 places, at least 16 of the 21 taking part in a European mobility for the first time, at least 13 with fewer opportunities, and at least 40% of each gender in every national group, verified by the activity coordinator at selection and again at final confirmation.</w:t>
      </w:r>
    </w:p>
    <w:p>
      <w:pPr>
        <w:jc w:val="both"/>
      </w:pPr>
      <w:r>
        <w:rPr>
          <w:b w:val="0"/>
          <w:i w:val="0"/>
        </w:rPr>
        <w:t>During the week the evaluation is continuous and visible to the participants. The daily reflection groups run first in the national group in the participant’s own language and then in plenary, and what comes out of them visibly changes the next day’s programme — a learning method and our best early warning at once. The Day 4 grid is moderated immediately after the session, while the observers still remember what they saw, and at the mid-point each participant returns to the two learning targets they set on Day 1. On Day 7 there is a participatory evaluation run with the participants rather than on them, an anonymous questionnaire in which we look for at least 80% positive without leaning on it, the Youthpass session, and the comparison of each sealed Day 1 digital map with what its author can now say about their own habits.</w:t>
      </w:r>
    </w:p>
    <w:p>
      <w:pPr>
        <w:jc w:val="both"/>
      </w:pPr>
      <w:r>
        <w:rPr>
          <w:b w:val="0"/>
          <w:i w:val="0"/>
        </w:rPr>
        <w:t>After the mobility the measurement follows the participants. Each local initiative produces an attendance record, a short report and the ten-minute exercise. In month 10 the four groups meet online to review what actually worked, and that review is what revises the toolkit, not a desk edit. A follow-up questionnaire in month 12 asks what they still use, with at least 16 of the 21 expected to be applying something six months on. In month 17 the participants take part in a participatory evaluation session that feeds the final report, and the three organisations hold their own evaluation meeting. In month 18 the final test is taken, compared with the baseline and written up. Externally we count one thing: at least four organisations outside the partnership confirming in writing that they use the toolkit. Results are communicated individually to every participant and collectively to parents, community partners, the 14 municipalities and the National Agency.</w:t>
      </w:r>
    </w:p>
    <w:p>
      <w:pPr>
        <w:jc w:val="both"/>
      </w:pPr>
      <w:r>
        <w:rPr>
          <w:b w:val="0"/>
          <w:i w:val="0"/>
        </w:rPr>
        <w:t>We have built these instruments so that failure is visible rather than comfortable. A practical test can come back showing no improvement. An observation grid can record, participant by participant, that a technique was not performed. A participant who does not take both forms is excluded from the calculation and reported as excluded, not quietly removed from the denominator. We prefer that to a satisfaction questionnaire that always comes back positive. And we will describe the instruments honestly: fifteen items and twenty-one participants do not make a validated psychometric instrument and we will not call it one. It is fit for tracking change inside this cohort and for telling the team where the learning worked and where it did not; the final report will say both.</w:t>
      </w:r>
    </w:p>
    <w:p>
      <w:pPr>
        <w:spacing w:after="200"/>
      </w:pPr>
      <w:r>
        <w:rPr>
          <w:b w:val="0"/>
          <w:i/>
          <w:color w:val="5A5A5A"/>
          <w:sz w:val="16"/>
        </w:rPr>
        <w:t>≈ 5,991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Four things stay behind when the funding stops, and each one has a person responsible for it.</w:t>
      </w:r>
    </w:p>
    <w:p>
      <w:pPr>
        <w:jc w:val="both"/>
      </w:pPr>
      <w:r>
        <w:rPr>
          <w:b w:val="0"/>
          <w:i w:val="0"/>
        </w:rPr>
        <w:t>The first is the toolkit. We call it “Digital Detectives” and it is not a report about the project. It is the material we actually used: worksheets, exercises, games, verification grids, the manipulation grid the participants wrote in four languages, and the AI-recognition sheet they made themselves. We test it during the exchange, then we fix it in month 10 using what really worked in the four local initiatives and what did not. It is published free of charge in month 17 in English and Romanian, and GGD and KEA translate it into Turkish and Greek. Any youth worker can download it and run a session with it the same week.</w:t>
      </w:r>
    </w:p>
    <w:p>
      <w:pPr>
        <w:jc w:val="both"/>
      </w:pPr>
      <w:r>
        <w:rPr>
          <w:b w:val="0"/>
          <w:i w:val="0"/>
        </w:rPr>
        <w:t>The second is where that toolkit goes next, because a published file that nobody picks up is not a result. Our association already runs youth activities across its 14 partner municipalities and holds community events every year, and the toolkit becomes part of that work. GGD puts it into the volunteer network it trains every year and into its rural youth programme. KEA takes it into its creative activity centre for children and young people and out to the 36 islands it serves. In the partnership agreement each organisation writes down the name of the person who is responsible for it after the project ends — a name, not a department.</w:t>
      </w:r>
    </w:p>
    <w:p>
      <w:pPr>
        <w:jc w:val="both"/>
      </w:pPr>
      <w:r>
        <w:rPr>
          <w:b w:val="0"/>
          <w:i w:val="0"/>
        </w:rPr>
        <w:t>The third is the twenty-one participants. They do not stop being part of this when they get home. Each of them has already planned and led a local activity for other young people, so the three organisations keep them on as peer trainers in what they do next. That is cheaper than finding a new group and it works better, because a sixteen-year-old listens differently to another sixteen-year-old. The group chat stays open for the whole 18 months and is not closed when the report is submitted.</w:t>
      </w:r>
    </w:p>
    <w:p>
      <w:pPr>
        <w:jc w:val="both"/>
      </w:pPr>
      <w:r>
        <w:rPr>
          <w:b w:val="0"/>
          <w:i w:val="0"/>
        </w:rPr>
        <w:t>The fourth is the three instruments: the practical test, the observation grid, and the short exercise we use with the young people the participants reach afterwards. All three can be used again. At the end of this project our association owns three ways of measuring what young people actually learned, which it did not have before, and that changes what we can honestly write in the next project we apply for.</w:t>
      </w:r>
    </w:p>
    <w:p>
      <w:pPr>
        <w:jc w:val="both"/>
      </w:pPr>
      <w:r>
        <w:rPr>
          <w:b w:val="0"/>
          <w:i w:val="0"/>
        </w:rPr>
        <w:t>In month 17 the three organisations sit down and decide whether to carry on together, and with what. Two ideas are already on the table: a second exchange, hosted next time by GGD or KEA, or a youth participation project where young people talk directly to local decision-makers. We write the decision down either way, including if the answer is no.</w:t>
      </w:r>
    </w:p>
    <w:p>
      <w:pPr>
        <w:spacing w:after="200"/>
      </w:pPr>
      <w:r>
        <w:rPr>
          <w:b w:val="0"/>
          <w:i/>
          <w:color w:val="5A5A5A"/>
          <w:sz w:val="16"/>
        </w:rPr>
        <w:t>≈ 2,620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We prefer to name who gets what, rather than promise to share widely.</w:t>
      </w:r>
    </w:p>
    <w:p>
      <w:pPr>
        <w:jc w:val="both"/>
      </w:pPr>
      <w:r>
        <w:rPr>
          <w:b w:val="0"/>
          <w:i w:val="0"/>
        </w:rPr>
        <w:t>Youth organisations, libraries and community centres in our own territory get the toolkit free, and in month 17 we sit down with the youth workers, librarians and community educators who will actually use it and go through it with them. This matters more here than it would elsewhere. Romania has no single national plan for media literacy and the rules are spread across different laws, so a tested set of free materials in the hands of people who already work with rural young people fills a gap that nobody else is filling.</w:t>
      </w:r>
    </w:p>
    <w:p>
      <w:pPr>
        <w:jc w:val="both"/>
      </w:pPr>
      <w:r>
        <w:rPr>
          <w:b w:val="0"/>
          <w:i w:val="0"/>
        </w:rPr>
        <w:t>Youth organisations elsewhere in Europe get it through the Erasmus+ Project Results Platform and through our partners’ own channels. KEA reaches more than 80 regional media outlets, a website with over 12,000 visitors a month and a newsletter with 800 subscribers. GGD reaches the volunteers it trains every year. We also use the LEADER and ELARD rural networks, where our association already works internationally. The target is simple and checkable: at least four organisations outside this partnership confirm in writing that they have used the toolkit.</w:t>
      </w:r>
    </w:p>
    <w:p>
      <w:pPr>
        <w:jc w:val="both"/>
      </w:pPr>
      <w:r>
        <w:rPr>
          <w:b w:val="0"/>
          <w:i w:val="0"/>
        </w:rPr>
        <w:t>Local institutions get the evaluation report and a short list of recommendations — what worked, what we would do differently, and what a municipality can do with very little money. It goes to our 14 partner municipalities and to the partner institutions in Türkiye and Greece.</w:t>
      </w:r>
    </w:p>
    <w:p>
      <w:pPr>
        <w:jc w:val="both"/>
      </w:pPr>
      <w:r>
        <w:rPr>
          <w:b w:val="0"/>
          <w:i w:val="0"/>
        </w:rPr>
        <w:t>The communities get the four media products, which stay online on all three organisations’ channels after the project closes. A two-minute video that takes apart a rumour people in the village actually heard gets watched. A report does not.</w:t>
      </w:r>
    </w:p>
    <w:p>
      <w:pPr>
        <w:jc w:val="both"/>
      </w:pPr>
      <w:r>
        <w:rPr>
          <w:b w:val="0"/>
          <w:i w:val="0"/>
        </w:rPr>
        <w:t>None of this needs new funding. Everything listed here happens inside activities the three organisations already run and already pay for.</w:t>
      </w:r>
    </w:p>
    <w:p>
      <w:pPr>
        <w:spacing w:after="200"/>
      </w:pPr>
      <w:r>
        <w:rPr>
          <w:b w:val="0"/>
          <w:i/>
          <w:color w:val="5A5A5A"/>
          <w:sz w:val="16"/>
        </w:rPr>
        <w:t>≈ 1,815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p>
      <w:pPr>
        <w:jc w:val="both"/>
      </w:pPr>
      <w:r>
        <w:rPr>
          <w:b w:val="0"/>
          <w:i w:val="0"/>
        </w:rPr>
        <w:t>We share the results with five groups, through our own channels and through local media. For each one we know what they get, who is responsible and how we will know it happened.</w:t>
      </w:r>
    </w:p>
    <w:p>
      <w:pPr>
        <w:jc w:val="both"/>
      </w:pPr>
      <w:r>
        <w:rPr>
          <w:b w:val="0"/>
          <w:i w:val="0"/>
        </w:rPr>
        <w:t>Young people in the three communities come first, because they are the ones the project is for. They get the four local initiatives the participants run themselves, the four media products, and the toolkit through youth centres, libraries and community centres. At least 80 young people are reached directly, and the group leaders are responsible for that number.</w:t>
      </w:r>
    </w:p>
    <w:p>
      <w:pPr>
        <w:jc w:val="both"/>
      </w:pPr>
      <w:r>
        <w:rPr>
          <w:b w:val="0"/>
          <w:i w:val="0"/>
        </w:rPr>
        <w:t>The communities of our territory come next. The 14 partner municipalities help us spread the word, and we use the community events our association holds every year. What they see is the public presentation the participants give on Day 7 in Beliș, and a “Digital Detectives” stand at two of our community events. The target is two community events, and the communication officer owns it.</w:t>
      </w:r>
    </w:p>
    <w:p>
      <w:pPr>
        <w:jc w:val="both"/>
      </w:pPr>
      <w:r>
        <w:rPr>
          <w:b w:val="0"/>
          <w:i w:val="0"/>
        </w:rPr>
        <w:t>Parents and guardians are a special case: not a target group of the project, but the people who inform, support and protect participants who are minors. Each country holds a parents’ meeting before consents are signed, every family receives the participant pack, and parents are invited to the local initiative and to the Day 7 presentation, where they hear it from their own child instead of from us.</w:t>
      </w:r>
    </w:p>
    <w:p>
      <w:pPr>
        <w:jc w:val="both"/>
      </w:pPr>
      <w:r>
        <w:rPr>
          <w:b w:val="0"/>
          <w:i w:val="0"/>
        </w:rPr>
        <w:t>Youth organisations and youth workers across Europe get the toolkit. We publish it on the Erasmus+ Project Results Platform, and it travels through KEA’s website and newsletter, GGD’s volunteer network, and the LEADER and ELARD rural networks. What we count is the toolkit published and freely downloadable, and at least four organisations outside the partnership confirming that they use it.</w:t>
      </w:r>
    </w:p>
    <w:p>
      <w:pPr>
        <w:jc w:val="both"/>
      </w:pPr>
      <w:r>
        <w:rPr>
          <w:b w:val="0"/>
          <w:i w:val="0"/>
        </w:rPr>
        <w:t>Local institutions and decision-makers get the evaluation report and the recommendations, in direct meetings and in presentations to local councils. At least four institutions informed, and the project manager is responsible.</w:t>
      </w:r>
    </w:p>
    <w:p>
      <w:pPr>
        <w:jc w:val="both"/>
      </w:pPr>
      <w:r>
        <w:rPr>
          <w:b w:val="0"/>
          <w:i w:val="0"/>
        </w:rPr>
        <w:t>Everything we do goes out on the three organisations’ own channels, and we agreed the rhythm in advance. Each partner posts on its own social media and on its own website — LAG Napoca Porolissum in Romanian and Hungarian, GGD in Turkish, KEA in Greek — and each also posts in English so the other two can share it. Something goes up at seven moments: the launch of the call in month 1, the selected group in month 2, the preparation sessions in months 3 and 4, the days of the exchange in August, the Day 7 presentation, each of the four local initiatives, and the toolkit in month 17. The material comes from the participants themselves, through the photo, video and diary roles they hold from month 3. Each organisation names one person responsible for its own channels in the partnership agreement, and we commit to at least 15 posts per organisation across the 18 months plus sharing each other’s. Three organisations posting to three countries is the cheapest reach we have.</w:t>
      </w:r>
    </w:p>
    <w:p>
      <w:pPr>
        <w:jc w:val="both"/>
      </w:pPr>
      <w:r>
        <w:rPr>
          <w:b w:val="0"/>
          <w:i w:val="0"/>
        </w:rPr>
        <w:t>We also cooperate with local media in all three countries, and we go to them with something to look at rather than with a press release about a grant. In Romania the contact already exists: we work with the county and local press every year at our community events and the festival in Beliș. We send a release in Romanian shortly before the exchange and immediately after the Day 7 presentation, and we invite journalists to Beliș for the presentation itself, where the participants do the talking and the staff do not. KEA sends the same material in Greek through the more than 80 regional media outlets it already reaches across the South Aegean, and GGD does the same in Turkish through its own local contacts. What we offer is a story a local newsroom can use: young people from their own area taking apart a rumour that circulated there. Our target is at least six items in local or regional media across the three countries, three of them in Romania, and the communication officer keeps the record. If a journalist wants to speak to a participant, the rule is the same as everywhere else: written parental consent first and the group leader present.</w:t>
      </w:r>
    </w:p>
    <w:p>
      <w:pPr>
        <w:jc w:val="both"/>
      </w:pPr>
      <w:r>
        <w:rPr>
          <w:b w:val="0"/>
          <w:i w:val="0"/>
        </w:rPr>
        <w:t>Two rules apply to everything we publish. Every product — toolkit, videos, presentations, press releases — carries the European Union emblem and the funding statement, as the Programme requires. And because all our participants are minors, nothing goes out until two people have seen it: the participant responsible for documentation prepares it, and the safeguarding focal point approves it. No recognisable photo of a minor is published without written consent, no personal data of other people appears, and we never publish where a minor lives or can be found. That rule is written into the group agreement on Day 1, and understanding why it exists is part of the learning.</w:t>
      </w:r>
    </w:p>
    <w:p>
      <w:pPr>
        <w:jc w:val="both"/>
      </w:pPr>
      <w:r>
        <w:rPr>
          <w:b w:val="0"/>
          <w:i w:val="0"/>
        </w:rPr>
        <w:t>On Day 1 the participants also get a short session on what Erasmus+ is and what stays open to them afterwards — the European Solidarity Corps, DiscoverEU, other exchanges — so this project is not the last time they hear the word.</w:t>
      </w:r>
    </w:p>
    <w:p>
      <w:pPr>
        <w:spacing w:after="200"/>
      </w:pPr>
      <w:r>
        <w:rPr>
          <w:b w:val="0"/>
          <w:i/>
          <w:color w:val="5A5A5A"/>
          <w:sz w:val="16"/>
        </w:rPr>
        <w:t>≈ 4,993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The participants are the ones doing the disseminating. They are not the subject of it.</w:t>
      </w:r>
    </w:p>
    <w:p>
      <w:pPr>
        <w:jc w:val="both"/>
      </w:pPr>
      <w:r>
        <w:rPr>
          <w:b w:val="0"/>
          <w:i w:val="0"/>
        </w:rPr>
        <w:t>They write the posts themselves. We do not draft something and ask them to approve it: the text, the photographs, the short videos and the captions are theirs, in their own language and in their own register, and an adult checks only what the safeguarding rule requires before anything goes out. During the mobility this runs by rotation. Each national group takes the content desk for a set of days and is responsible for everything published that day on all three organisations’ channels — the Romanian group on Days 1 and 4, the Turkish group on Days 2 and 5, the Greek group on Days 3 and 6, and all three together on Day 7, when the public presentation happens. Each group therefore produces content at least twice, nobody carries it for the whole week, and the three of them get to see how differently the same day can be told depending on who is telling it. This is a separate job from the mixed host team that runs each day, so the two do not compete for the same people.</w:t>
      </w:r>
    </w:p>
    <w:p>
      <w:pPr>
        <w:jc w:val="both"/>
      </w:pPr>
      <w:r>
        <w:rPr>
          <w:b w:val="0"/>
          <w:i w:val="0"/>
        </w:rPr>
        <w:t>The roles behind it are assigned in month 3, before anyone travels: photo and video, the activity diary, contact with the host community, energisers, timekeeping. Afterwards the participants make the four media products, design and lead the four local initiatives — choosing the date, the place, the audience and who does what — present in public on Day 7 to guests from Beliș, the neighbouring communes and the local press, where the adults speak only if someone asks them a question, and present the results again across the localities of the territory in months 16 and 17.</w:t>
      </w:r>
    </w:p>
    <w:p>
      <w:pPr>
        <w:jc w:val="both"/>
      </w:pPr>
      <w:r>
        <w:rPr>
          <w:b w:val="0"/>
          <w:i w:val="0"/>
        </w:rPr>
        <w:t>There is a practical reason for working this way and not only a principled one. When a fifteen-year-old stands in front of a room of other young people and shows them how to check whether a photograph is really what it claims to be, they are believed. It is also the moment the learning stops belonging to us and starts belonging to them.</w:t>
      </w:r>
    </w:p>
    <w:p>
      <w:pPr>
        <w:spacing w:after="200"/>
      </w:pPr>
      <w:r>
        <w:rPr>
          <w:b w:val="0"/>
          <w:i/>
          <w:color w:val="5A5A5A"/>
          <w:sz w:val="16"/>
        </w:rPr>
        <w:t>≈ 1,982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