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 economic, educational, linguistic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2,124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27</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 21 participants aged 14–17 + 4 group leaders + 2 facilitators, in three national groups of seven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30,494.00</w:t>
            </w:r>
          </w:p>
        </w:tc>
        <w:tc>
          <w:tcPr>
            <w:tcW w:type="dxa" w:w="5669"/>
          </w:tcPr>
          <w:p>
            <w:pPr>
              <w:spacing w:before="40" w:after="40"/>
            </w:pPr>
            <w:r/>
            <w:r>
              <w:rPr>
                <w:b w:val="0"/>
                <w:i w:val="0"/>
                <w:sz w:val="19"/>
              </w:rPr>
              <w:t>Of which 27,094.00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English is not a selection criterion and A2 is accepted, with a glossary built in four languages, which answers the linguistic one; and preparation runs over four months rather than four weeks, with a parents’ meeting in each country before consents are signed and a stated right to leave a session without giving a reason, which answers the social and educational ones.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4,746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27</w:t>
            </w:r>
          </w:p>
        </w:tc>
        <w:tc>
          <w:tcPr>
            <w:tcW w:type="dxa" w:w="1361"/>
          </w:tcPr>
          <w:p>
            <w:pPr>
              <w:spacing w:before="40" w:after="40"/>
            </w:pPr>
            <w:r/>
            <w:r>
              <w:rPr>
                <w:b/>
                <w:i w:val="0"/>
                <w:sz w:val="19"/>
              </w:rPr>
              <w:t>27,094.00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(3,400.00 EUR) sits at project level, not inside the activity, which is why the project total is 30,494.00 and the activity grant 27,094.00.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 How will you reach out to them, and what specific measures will you implement to support their participation?</w:t>
            </w:r>
          </w:p>
        </w:tc>
      </w:tr>
    </w:tbl>
    <w:p>
      <w:pPr>
        <w:spacing w:after="0"/>
      </w:pPr>
    </w:p>
    <w:p>
      <w:pPr>
        <w:jc w:val="both"/>
      </w:pPr>
      <w:r>
        <w:rPr>
          <w:b w:val="0"/>
          <w:i w:val="0"/>
        </w:rPr>
        <w:t>The principal barrier is geographical and it affects essentially the whole group: isolated rural mountain communes, small islands of the South Aegean, and a metropolitan periphery with the rural localities behind it. Living in a remote or rural region, on a small island or in a peripheral, less-served area is recognised as an obstacle to participation, and all three groups qualify on that ground alone. Economic barriers follow closely, with 34.4% of the young people aged 14–17 in our survey naming cost and 31.2% naming transport; in these households the first 80 kilometres are a real obstacle rather than a detail. Educational barriers affect the 31.3% who have never taken part in any non-formal education activity, some of them from households with no experience of European programmes at all, for whom the difficulty is not only getting there but knowing that such a thing exists and is meant for them. Linguistically, part of our own territory communicates in Hungarian, in the İstanbul periphery information travels through neighbourhood and community networks, and in the South Aegean through island and regional channels, so a young person whose community life happens outside the national media has less access to reliable information and almost no access to correction of what circulates around them. Socially, 12.5% name lack of self-confidence and 10.4% say their family would not agree, and among the respondents there are young people reached through the social worker, young people with childcare responsibilities and young people from Roma communities; two wrote about exclusion directly: “There shouldn’t be differences of class or gender — if you’re in the 12th grade you should be able to go on Erasmus too” and “The right to study; Roma don’t put an emphasis on school.” Health or disability is not known before selection, and the specific-needs sheet allows it to be declared confidentially, with the support that follows costed individually rather than assumed.</w:t>
      </w:r>
    </w:p>
    <w:p>
      <w:pPr>
        <w:jc w:val="both"/>
      </w:pPr>
      <w:r>
        <w:rPr>
          <w:b w:val="0"/>
          <w:i w:val="0"/>
        </w:rPr>
        <w:t>The first barrier these young people name is not money but information, since 37.5% say the reason opportunities pass them by is that they never hear about them. Outreach is therefore a project activity with its own indicator — a target of at least 63 applications for 21 places — rather than an administrative formality. We work through the youth networks the three organisations already run, including the Rural Youth Parliament and the participants of previous activities, because those are the people who can say what an exchange is actually like; peer-to-peer, since friends are the channel for 38.5% of them; through social media, the channel for 49.0%, in a format adapted to the age group and produced with young people already active in the organisations rather than written by staff and posted at them; through libraries, community centres and local youth spaces, where the call is presented in person rather than pinned up; and through the Social Inclusion Centre and the UNIC — Porolissum project, which work directly with vulnerable households and reach young people who would never see an online call. The call is also carried into the schools of the territory, because that is where half of these young people say they hear about opportunities, but as an information channel only. We do not use municipal noticeboards, which reach 6.2% of this age group: the 14 partner municipalities are used for validating the need and hosting activities, not for recruitment, and saying that plainly is what our own data requires.</w:t>
      </w:r>
    </w:p>
    <w:p>
      <w:pPr>
        <w:jc w:val="both"/>
      </w:pPr>
      <w:r>
        <w:rPr>
          <w:b w:val="0"/>
          <w:i w:val="0"/>
        </w:rPr>
        <w:t>Each barrier is then answered by a specific measure. Against the informational barrier stands the outreach plan above, the call translated into four languages and a plain-language version written for parents rather than for funders. Against the economic one, no contribution of any kind is asked of participants: travel, accommodation, meals, insurance and materials are covered in full, and the rule is stated in writing from the day the call is published, because that is what allows a family to let a child apply at all. Transport is organised and paid from the participant’s home to the point of departure through the inclusion support category, on a dedicated budget line, so that a young person from Măguri-Răcătău, or one who must take a ferry before reaching an airport or a station, does not have to solve the first leg alone. Against educational and linguistic barriers, English is not a selection criterion and A2 is accepted, the glossary is built in four languages, methods are visual and practical, work is done in pairs, group leaders interpret on request and cross-language support is built deliberately into the mixed teams. Against social ones, the preparatory visit includes one young person from each sending organisation so that a participant arrives in August already knowing someone who has been there, the cohort communication group is active two months before departure, the group leader accompanies throughout the journey and the right to leave a session is stated. Health or disability is handled through the confidential specific-needs sheet, an accessible venue and additional inclusion support at real cost where needed, on its own line with its own justification. And family reluctance, named by 10.4%, is answered by the parents’ online meeting held in each country in the local language, with the safeguarding focal point present and the full programme, supervision arrangements and contact chain explained — after which, not before, parental consent is obtained.</w:t>
      </w:r>
    </w:p>
    <w:p>
      <w:pPr>
        <w:spacing w:after="200"/>
      </w:pPr>
      <w:r>
        <w:rPr>
          <w:b w:val="0"/>
          <w:i/>
          <w:color w:val="5A5A5A"/>
          <w:sz w:val="16"/>
        </w:rPr>
        <w:t>≈ 5,520 characters (assumed form limit 6,000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5,458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17 of 21</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17 of 21</w:t>
            </w:r>
          </w:p>
        </w:tc>
        <w:tc>
          <w:tcPr>
            <w:tcW w:type="dxa" w:w="2268"/>
          </w:tcPr>
          <w:p>
            <w:pPr>
              <w:spacing w:before="40" w:after="40"/>
            </w:pPr>
            <w:r/>
            <w:r>
              <w:rPr>
                <w:b w:val="0"/>
                <w:i w:val="0"/>
                <w:sz w:val="17"/>
              </w:rPr>
              <w:t>Observation grid, 4 techniques scored 0–2, six calibrated observers, 10 of 21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16 of 21</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13 of 21</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63 for 21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16 of 21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val="0"/>
          <w:i w:val="0"/>
        </w:rPr>
        <w:t>The evaluation runs to a fixed sequence. Before month 2 both instruments are piloted with five to eight young people aged 14–17 from the territory who are not project participants, and any item that more than 80% or fewer than 10% of the pilot group answers correctly is rewritten, so that neither instrument is used on the cohort untested. In month 2 the baseline is taken and the threshold recalibration rule is applied once, on the group mean, with the decision recorded in writing. In month 4 all observers score the same recorded sequence independently and compare, targeting exact agreement on at least 80% of judgements, and if that is not reached the grid is simplified before the mobility and the decision minuted.</w:t>
      </w:r>
    </w:p>
    <w:p>
      <w:pPr>
        <w:jc w:val="both"/>
      </w:pPr>
      <w:r>
        <w:rPr>
          <w:b w:val="0"/>
          <w:i w:val="0"/>
        </w:rPr>
        <w:t>During the mobility, the daily reflection groups produce output that visibly adjusts the next day’s programme, facilitators observe, the Day 4 grid is applied with moderation immediately afterwards, and individual learning targets are reviewed at the mid-point. On Day 7 come the participatory evaluation, an anonymous written questionnaire, the Youthpass reflection and the comparison of each participant’s Day 1 digital map with their Day 7 reflection. After each local initiative there are attendance records, a short report and the ten-minute exercise. Month 10 brings the joint online review that feeds a revision of the toolkit, month 12 the follow-up questionnaire, month 17 a participatory evaluation with participants and a consortium evaluation meeting, and month 18 the final test, the comparison with the baseline, the evaluation report, and results communicated individually to each participant and collectively to parents, community partners, the 14 municipalities and the National Agency.</w:t>
      </w:r>
    </w:p>
    <w:p>
      <w:pPr>
        <w:jc w:val="both"/>
      </w:pPr>
      <w:r>
        <w:rPr>
          <w:b w:val="0"/>
          <w:i w:val="0"/>
        </w:rPr>
        <w:t>The instruments are designed so that failure is visible. A practical test can show no improvement, an observation grid can record that a participant did not perform a technique, and a participant who does not take both forms is excluded from the calculation and reported as excluded rather than quietly dropped from the denominator. We prefer that to a satisfaction questionnaire that always comes back positive. Fifteen items and twenty-one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4,791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Something concrete stays behind and someone owns it. The “Digital Detectives” toolkit — worksheets, exercises, games, verification grids, the manipulation grid produced by the participants and the AI-recognition sheet they wrote themselves — is tested during the mobility, revised in month 10 on the basis of what actually worked in the four local initiatives, and published free of charge in month 17 in English and Romanian, with Greek and Turkish translations delivered by the partners. It is not a report about the project but a set of materials a youth worker can pick up and use on a Tuesday afternoon.</w:t>
      </w:r>
    </w:p>
    <w:p>
      <w:pPr>
        <w:jc w:val="both"/>
      </w:pPr>
      <w:r>
        <w:rPr>
          <w:b w:val="0"/>
          <w:i w:val="0"/>
        </w:rPr>
        <w:t>It then enters standing activity rather than an archive.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val="0"/>
          <w:i w:val="0"/>
        </w:rPr>
        <w:t>The twenty-one stay as well. They are not released at the end: each has already run a local initiative, and the organisations then involve them as peer trainers, which is both cheaper and more effective than recruiting a new cohort from scratch, while the cohort communication group remains open. The instruments stay too, since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val="0"/>
          <w:i w:val="0"/>
        </w:rPr>
        <w:t>Finally, the partnership decides its own future.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val="0"/>
          <w:i w:val="0"/>
        </w:rPr>
        <w:t>All materials produced — toolkit, media products, presentations, press releases — carry the European Union emblem and the funding statement in line with the Programme’s rules, and on Day 1 participants have a short session on what Erasmus+ is and what stays open to them afterwards, from the European Solidarity Corps to DiscoverEU and other exchanges, so that this project is not the end of their contact with the Programme.</w:t>
      </w:r>
    </w:p>
    <w:p>
      <w:pPr>
        <w:jc w:val="both"/>
      </w:pPr>
      <w:r>
        <w:rPr>
          <w:b w:val="0"/>
          <w:i w:val="0"/>
        </w:rPr>
        <w:t>Because all participants are minors, every piece of content goes through a two-step review before publication: the participant responsible for documentation prepares it, and the safeguarding focal point approves it. No identifiable image of a minor is published without written consent, no personal data of third parties appears, and no location details for minors are given. That rule is written into the group agreement on Day 1, and it is itself part of the learning.</w:t>
      </w:r>
    </w:p>
    <w:p>
      <w:pPr>
        <w:spacing w:after="200"/>
      </w:pPr>
      <w:r>
        <w:rPr>
          <w:b w:val="0"/>
          <w:i/>
          <w:color w:val="5A5A5A"/>
          <w:sz w:val="16"/>
        </w:rPr>
        <w:t>≈ 2,510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