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9.491 / 10.500 (90%)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spacing w:after="20"/>
        <w:ind w:left="357" w:hanging="357"/>
      </w:pPr>
      <w:r>
        <w:t>•</w:t>
        <w:tab/>
      </w: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spacing w:after="20"/>
        <w:ind w:left="357" w:hanging="357"/>
      </w:pPr>
      <w:r>
        <w:t>•</w:t>
        <w:tab/>
      </w: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și a completat dosarele din iulie cu documentele primite de la școală;</w:t>
      </w:r>
    </w:p>
    <w:p>
      <w:pPr>
        <w:spacing w:after="20"/>
        <w:ind w:left="357" w:hanging="357"/>
      </w:pPr>
      <w:r>
        <w:t>•</w:t>
        <w:tab/>
      </w:r>
      <w:r>
        <w:rPr>
          <w:b w:val="0"/>
          <w:i w:val="0"/>
        </w:rPr>
        <w:t>la întâlnirea din 21.08.2026 de la Colegiul Tehnic Turda au fost înscriși 6 elevi noi din clasele a VII-a – a VIII-a și au fost precompletate 8 dosare;</w:t>
      </w:r>
    </w:p>
    <w:p>
      <w:pPr>
        <w:spacing w:after="20"/>
        <w:ind w:left="357" w:hanging="357"/>
      </w:pPr>
      <w:r>
        <w:t>•</w:t>
        <w:tab/>
      </w:r>
      <w:r>
        <w:rPr>
          <w:b w:val="0"/>
          <w:i w:val="0"/>
        </w:rPr>
        <w:t>pe baza centralizatoarelor transmise de școli, experții au încadrat elevii identificați pe acțiunile 8.f.1, 8.f.2 și 8.f.3 (SA4.2);</w:t>
      </w:r>
    </w:p>
    <w:p>
      <w:pPr>
        <w:spacing w:after="20"/>
        <w:ind w:left="357" w:hanging="357"/>
      </w:pPr>
      <w:r>
        <w:t>•</w:t>
        <w:tab/>
      </w: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au fost precompletate 70 de dosare pentru elevii de liceu ai Colegiului Tehnic Turda (38 din clasa a IX-a, 21 din clasa a X-a și 11 din clasa a XI-a);</w:t>
      </w:r>
    </w:p>
    <w:p>
      <w:pPr>
        <w:spacing w:after="20"/>
        <w:ind w:left="357" w:hanging="357"/>
      </w:pPr>
      <w:r>
        <w:t>•</w:t>
        <w:tab/>
      </w: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spacing w:after="20"/>
        <w:ind w:left="357" w:hanging="357"/>
      </w:pPr>
      <w:r>
        <w:t>•</w:t>
        <w:tab/>
      </w:r>
      <w:r>
        <w:rPr>
          <w:b w:val="0"/>
          <w:i w:val="0"/>
        </w:rPr>
        <w:t>metodologia de selecție a fost actualizată (versiunea 2), pentru corelarea cu Actul adițional nr. 1 și cu Notificarea nr. 3 și pentru includerea noului partener asociat;</w:t>
      </w:r>
    </w:p>
    <w:p>
      <w:pPr>
        <w:spacing w:after="20"/>
        <w:ind w:left="357" w:hanging="357"/>
      </w:pPr>
      <w:r>
        <w:t>•</w:t>
        <w:tab/>
      </w:r>
      <w:r>
        <w:rPr>
          <w:b w:val="0"/>
          <w:i w:val="0"/>
        </w:rPr>
        <w:t>au fost scanate și verificate pe grila de eligibilitate (Anexa 9) 66 de dosare, dintre care 45 complete și 21 cu documente lipsă, pentru care familiile au fost contactate în vederea completării;</w:t>
      </w:r>
    </w:p>
    <w:p>
      <w:pPr>
        <w:spacing w:after="20"/>
        <w:ind w:left="357" w:hanging="357"/>
      </w:pPr>
      <w:r>
        <w:t>•</w:t>
        <w:tab/>
      </w: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spacing w:after="20"/>
        <w:ind w:left="357" w:hanging="357"/>
      </w:pPr>
      <w:r>
        <w:t>•</w:t>
        <w:tab/>
      </w:r>
      <w:r>
        <w:rPr>
          <w:b w:val="0"/>
          <w:i w:val="0"/>
        </w:rPr>
        <w:t>întâlnirile de informare și recrutare au fost organizate în școli, la orele convenite cu conducerile acestora, pentru a permite participarea elevilor și a părinților;</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w:t>
      </w:r>
    </w:p>
    <w:p>
      <w:pPr>
        <w:spacing w:after="20"/>
        <w:ind w:left="357" w:hanging="357"/>
      </w:pPr>
      <w:r>
        <w:t>•</w:t>
        <w:tab/>
      </w: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cu utilizarea unui singur autoturism;</w:t>
      </w:r>
    </w:p>
    <w:p>
      <w:pPr>
        <w:spacing w:after="20"/>
        <w:ind w:left="357" w:hanging="357"/>
      </w:pPr>
      <w:r>
        <w:t>•</w:t>
        <w:tab/>
      </w:r>
      <w:r>
        <w:rPr>
          <w:b w:val="0"/>
          <w:i w:val="0"/>
        </w:rPr>
        <w:t>documentele care au necesitat tipărire au fost imprimate față-verso;</w:t>
      </w:r>
    </w:p>
    <w:p>
      <w:pPr>
        <w:spacing w:after="20"/>
        <w:ind w:left="357" w:hanging="357"/>
      </w:pPr>
      <w:r>
        <w:t>•</w:t>
        <w:tab/>
      </w: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spacing w:after="20"/>
        <w:ind w:left="357" w:hanging="357"/>
      </w:pPr>
      <w:r>
        <w:t>•</w:t>
        <w:tab/>
      </w: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