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7.731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45 de elevi din clasa a IX-a au participat la cel puțin o sesiune remedială – 26 la Colegiul Tehnic Turda și 19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asumate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echipa de 11 persoane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iar Codul de etică al proiectului, care va prevedea expres promovarea și respectarea principiului egalității de gen, este în curs de elaborare și va fi asumat de experți în perioada următoare de raportare.</w:t>
      </w:r>
    </w:p>
    <w:p>
      <w:pPr>
        <w:jc w:val="both"/>
      </w:pPr>
      <w:r>
        <w:rPr>
          <w:b w:val="0"/>
          <w:i w:val="0"/>
        </w:rPr>
        <w:t xml:space="preserve">În cadrul SA4.1 și SA4.2, metodologia de selecție a grupului țintă (versiunile 1 și 2) include egalitatea de șanse și nediscriminarea ca principii de bază ale selecției, criteriile de eligibilitate nu fac nicio distincție în funcție de sex, iar criteriile de departajare prevăzute în cererea de finanțare includ apartenența la genul feminin. Experții GT au informat elevii și părinții, în întâlnirile de informare din iulie și septembrie 2026, cu privire la aplicarea acestui principiu în proiect. Dintre cei </w:t>
      </w:r>
      <w:r>
        <w:rPr>
          <w:b w:val="0"/>
          <w:i w:val="0"/>
          <w:highlight w:val="yellow"/>
        </w:rPr>
        <w:t>«96»</w:t>
      </w:r>
      <w:r>
        <w:rPr>
          <w:b w:val="0"/>
          <w:i w:val="0"/>
        </w:rPr>
        <w:t xml:space="preserve"> de elevi intrați în operațiune, </w:t>
      </w:r>
      <w:r>
        <w:rPr>
          <w:b w:val="0"/>
          <w:i w:val="0"/>
          <w:highlight w:val="yellow"/>
        </w:rPr>
        <w:t>«38»</w:t>
      </w:r>
      <w:r>
        <w:rPr>
          <w:b w:val="0"/>
          <w:i w:val="0"/>
        </w:rPr>
        <w:t xml:space="preserve"> sunt fete și </w:t>
      </w:r>
      <w:r>
        <w:rPr>
          <w:b w:val="0"/>
          <w:i w:val="0"/>
          <w:highlight w:val="yellow"/>
        </w:rPr>
        <w:t>«58»</w:t>
      </w:r>
      <w:r>
        <w:rPr>
          <w:b w:val="0"/>
          <w:i w:val="0"/>
        </w:rPr>
        <w:t xml:space="preserve"> sunt băieți, structura reflectând profilul specializărilor din unitățile de învățământ partenere, nu criterii de selecție.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psihologică și de informare au fost abordate deschis opțiunile educaționale și profesionale ale elevilor, inclusiv situațiile în care specializarea urmată nu corespunde intereselor lor, pentru prevenirea alegerilor bazate pe stereotipuri de gen.</w:t>
      </w:r>
    </w:p>
    <w:p>
      <w:pPr>
        <w:jc w:val="both"/>
      </w:pPr>
      <w:r>
        <w:rPr>
          <w:b w:val="0"/>
          <w:i w:val="0"/>
        </w:rPr>
        <w:t>În cadrul SA3.1 și SA5.3, materialele de informare și cele ale campaniei au prezentat meseriile și traseele educaționale din învățământul profesional și tehnic fără mesaje, formulări sau imagini care să promoveze stereotipuri de gen.</w:t>
      </w:r>
    </w:p>
    <w:p>
      <w:pPr>
        <w:jc w:val="both"/>
      </w:pPr>
      <w:r>
        <w:rPr>
          <w:b w:val="0"/>
          <w:i w:val="0"/>
        </w:rPr>
        <w:t>În cadrul SA5.2, programul de formare a cadrelor didactice a inclus aspecte privind comunicarea nediscriminatorie și aplicarea egalității de șanse în activitatea didactică.</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2.471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asumate în cererea de finanțare, după cum urmează:</w:t>
      </w:r>
    </w:p>
    <w:p>
      <w:pPr>
        <w:jc w:val="both"/>
      </w:pPr>
      <w:r>
        <w:rPr>
          <w:b w:val="0"/>
          <w:i w:val="0"/>
        </w:rPr>
        <w:t>În cadrul SA1.1, personalul a fost informat, la angajare și în întâlnirile de management, cu privire la drepturile și obligațiile proprii și ale grupului țintă; regulamentul intern prevede sancțiuni pentru nerespectarea principiului nediscriminării.</w:t>
      </w:r>
    </w:p>
    <w:p>
      <w:pPr>
        <w:jc w:val="both"/>
      </w:pPr>
      <w:r>
        <w:rPr>
          <w:b w:val="0"/>
          <w:i w:val="0"/>
        </w:rPr>
        <w:t xml:space="preserve">În cadrul SA4.1, metodologia de selecție a grupului țintă a fost publicată pe site-ul beneficiarului (16.07.2026) și diseminată în școlile partenere, cu criterii transparente de eligibilitate și de departajare, aplicate uniform tuturor candidaților; criteriile de departajare acordă prioritate elevilor de etnie romă și elevilor cu dizabilități. Recrutarea a vizat elevi din mediul rural și din localități mici (structura Școala Profesională Poiana Turda, zona Huedin), elevi din familii vulnerabile sau cu părinți plecați în străinătate și copii aflați în sistemul de protecție specială,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și familială, rezultate școlare), confirmate de școală, fără alte criterii decât cele de prioritizare prevăzute în cererea de finanțare.</w:t>
      </w:r>
    </w:p>
    <w:p>
      <w:pPr>
        <w:jc w:val="both"/>
      </w:pPr>
      <w:r>
        <w:rPr>
          <w:b w:val="0"/>
          <w:i w:val="0"/>
        </w:rPr>
        <w:t xml:space="preserve">În cadrul SA5.1 – SA5.4, activitățile s-au desfășurat în școlile în care învață elevii sau în spații publice din localitățile lor, în afara programului școlar, iar consilierea, informarea și programele remediale au fost oferite gratuit tuturor elevilor din grupul țintă. Colaborarea cu Liceul Teologic Reformat Cluj-Napoca a extins accesul la proiect pentru elevi dintr-o unitate de învățământ </w:t>
      </w:r>
      <w:r>
        <w:rPr>
          <w:b w:val="0"/>
          <w:i w:val="0"/>
          <w:highlight w:val="yellow"/>
        </w:rPr>
        <w:t>«cu predare în limba maghiară (de confirmat)»</w:t>
      </w:r>
      <w:r>
        <w:rPr>
          <w:b w:val="0"/>
          <w:i w:val="0"/>
        </w:rPr>
        <w:t>. Tema secundară „Nediscriminare” este susținută prin măsurile directe de sprijin pentru elevii din grupuri vulnerabile – sprijinul financiar pentru cazare, masă și transport și masa caldă –, care vor fi acordate începând din perioada următoare, după validarea grupului țintă.</w:t>
      </w:r>
    </w:p>
    <w:p>
      <w:pPr>
        <w:jc w:val="both"/>
      </w:pPr>
      <w:r>
        <w:rPr>
          <w:b w:val="0"/>
          <w:i w:val="0"/>
        </w:rPr>
        <w:t>În cadrul SA5.2, programul de formare a cadrelor didactice a abordat lucrul cu elevii aflați în risc educațional și din grupuri vulnerabile, fără etichetare sau excludere.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2.538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reducând barierele de deplasare și de cost;</w:t>
      </w:r>
    </w:p>
    <w:p>
      <w:pPr>
        <w:spacing w:after="20"/>
        <w:ind w:left="357" w:hanging="357"/>
      </w:pPr>
      <w:r>
        <w:t>•</w:t>
        <w:tab/>
      </w:r>
      <w:r>
        <w:rPr>
          <w:b w:val="0"/>
          <w:i w:val="0"/>
        </w:rPr>
        <w:t>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 chestionarele aplicate elevilor au fost anonime sau completate cu sprijinul experților;</w:t>
      </w:r>
    </w:p>
    <w:p>
      <w:pPr>
        <w:spacing w:after="20"/>
        <w:ind w:left="357" w:hanging="357"/>
      </w:pPr>
      <w:r>
        <w:t>•</w:t>
        <w:tab/>
      </w:r>
      <w:r>
        <w:rPr>
          <w:b w:val="0"/>
          <w:i w:val="0"/>
        </w:rPr>
        <w:t>metodologia de selecție prevede prioritizarea persoanelor cu dizabilități și identificarea, după selecție, a nevoilor specifice ale participanților cu dizabilități sau cu cerințe educaționale speciale, cu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1.538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și de a se integra pe piața muncii locale. În perioada de raportare au fost identificați și recrutați elevi din zone rurale și din orașe mici (Poiana Turda, zona Huedin), care au început să beneficieze de consiliere, informare și programe remediale.</w:t>
      </w:r>
    </w:p>
    <w:p>
      <w:pPr>
        <w:spacing w:after="160"/>
      </w:pPr>
      <w:r>
        <w:rPr>
          <w:b w:val="0"/>
          <w:i/>
          <w:color w:val="1E6B2E"/>
          <w:sz w:val="16"/>
        </w:rPr>
        <w:t>Caractere: 545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asupra mediului. Beneficiarul își asumă suportarea cheltuielilor pentru prevenirea sau remedierea oricărei poluări accidentale în zona de activitate, conform angajamentului din cererea de finanțare.</w:t>
      </w:r>
    </w:p>
    <w:p>
      <w:pPr>
        <w:spacing w:after="160"/>
      </w:pPr>
      <w:r>
        <w:rPr>
          <w:b w:val="0"/>
          <w:i/>
          <w:color w:val="1E6B2E"/>
          <w:sz w:val="16"/>
        </w:rPr>
        <w:t>Caractere: 354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nu s-au desfășurat în arii naturale protejate și nu au avut impact asupra biodiversității sau ecosistemelor.</w:t>
      </w:r>
    </w:p>
    <w:p>
      <w:pPr>
        <w:spacing w:after="160"/>
      </w:pPr>
      <w:r>
        <w:rPr>
          <w:b w:val="0"/>
          <w:i/>
          <w:color w:val="1E6B2E"/>
          <w:sz w:val="16"/>
        </w:rPr>
        <w:t>Caractere: 192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metodologii, documente de achiziție) au fost întocmite și semnate preponderent în format electronic, cu semnătură electronică, și transmise, verificate și arhivate electronic, reducând consumul de hârtie și toner și deplasările pentru predarea documentelor;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activități cu elevii), cu un singur autoturism;</w:t>
      </w:r>
    </w:p>
    <w:p>
      <w:pPr>
        <w:spacing w:after="20"/>
        <w:ind w:left="357" w:hanging="357"/>
      </w:pPr>
      <w:r>
        <w:t>•</w:t>
        <w:tab/>
      </w:r>
      <w:r>
        <w:rPr>
          <w:b w:val="0"/>
          <w:i w:val="0"/>
        </w:rPr>
        <w:t>documentele care au necesitat tipărire au fost imprimate față-verso, iar materialele de informare au fost distribuite și în format electronic, prin școli, reducând numărul de exemplare tipărite;</w:t>
      </w:r>
    </w:p>
    <w:p>
      <w:pPr>
        <w:spacing w:after="20"/>
        <w:ind w:left="357" w:hanging="357"/>
      </w:pPr>
      <w:r>
        <w:t>•</w:t>
        <w:tab/>
      </w:r>
      <w:r>
        <w:rPr>
          <w:b w:val="0"/>
          <w:i w:val="0"/>
        </w:rPr>
        <w:t>deșeurile de hârtie și cele electronice sunt colectate selectiv la sediul beneficiarului.</w:t>
      </w:r>
    </w:p>
    <w:p>
      <w:pPr>
        <w:spacing w:after="160"/>
      </w:pPr>
      <w:r>
        <w:rPr>
          <w:b w:val="0"/>
          <w:i/>
          <w:color w:val="1E6B2E"/>
          <w:sz w:val="16"/>
        </w:rPr>
        <w:t>Caractere: 1.144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 xml:space="preserve">În perioada de raportare, echipamentele IT achiziționate (laptopuri, desktopuri, multifuncționale) au fost alese cu specificații tehnice care asigură un consum redus de energie și o durată de viață extinsă, iar deplasările au fost reduse în favoarea comunicării electronice și a activităților online (formare, întâlniri de management), limitând consumul de combustibil și emisiile aferente. Principiul DNSH </w:t>
      </w:r>
      <w:r>
        <w:rPr>
          <w:b w:val="0"/>
          <w:i w:val="0"/>
          <w:highlight w:val="yellow"/>
        </w:rPr>
        <w:t>«a fost inclus în materialele campaniei de informare și conștientizare, prin mențiuni privind aplicarea acestuia în viața de zi cu zi»</w:t>
      </w:r>
      <w:r>
        <w:rPr>
          <w:b w:val="0"/>
          <w:i w:val="0"/>
        </w:rPr>
        <w:t>.</w:t>
      </w:r>
    </w:p>
    <w:p>
      <w:pPr>
        <w:spacing w:after="160"/>
      </w:pPr>
      <w:r>
        <w:rPr>
          <w:b w:val="0"/>
          <w:i/>
          <w:color w:val="1E6B2E"/>
          <w:sz w:val="16"/>
        </w:rPr>
        <w:t>Caractere: 542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(selecția grupului țintă, consiliere psihologică, informare și conștientizare, programe remediale, formare, achiziții de servicii și echipamente).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Documentațiile de achiziție au inclus cerințe privind respectarea principiului DNSH și criterii de eficiență energetică pentru echipamentele IT, conform contractului de finanțare; echipamentele care vor ieși din uz vor fi reciclate selectiv. În cadrul SA5.3, materialele campaniei de informare și conștientizare </w:t>
      </w:r>
      <w:r>
        <w:rPr>
          <w:b w:val="0"/>
          <w:i w:val="0"/>
          <w:highlight w:val="yellow"/>
        </w:rPr>
        <w:t>«au inclus mesaje privind dezvoltarea durabilă și aplicarea principiului DNSH în viața de zi cu zi»</w:t>
      </w:r>
      <w:r>
        <w:rPr>
          <w:b w:val="0"/>
          <w:i w:val="0"/>
        </w:rPr>
        <w:t xml:space="preserve">, iar în cadrul SA5.2 programul de formare </w:t>
      </w:r>
      <w:r>
        <w:rPr>
          <w:b w:val="0"/>
          <w:i w:val="0"/>
          <w:highlight w:val="yellow"/>
        </w:rPr>
        <w:t>«a abordat aplicarea principiului în activitatea didactică»</w:t>
      </w:r>
      <w:r>
        <w:rPr>
          <w:b w:val="0"/>
          <w:i w:val="0"/>
        </w:rPr>
        <w:t>, conform angajamentelor din cererea de finanțare.</w:t>
      </w:r>
    </w:p>
    <w:p>
      <w:pPr>
        <w:spacing w:after="160"/>
      </w:pPr>
      <w:r>
        <w:rPr>
          <w:b w:val="0"/>
          <w:i/>
          <w:color w:val="1E6B2E"/>
          <w:sz w:val="16"/>
        </w:rPr>
        <w:t>Caractere: 1.069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 xml:space="preserve">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w:t>
      </w:r>
      <w:r>
        <w:rPr>
          <w:b w:val="0"/>
          <w:i w:val="0"/>
          <w:highlight w:val="yellow"/>
        </w:rPr>
        <w:t>«96»</w:t>
      </w:r>
      <w:r>
        <w:rPr>
          <w:b w:val="0"/>
          <w:i w:val="0"/>
        </w:rPr>
        <w:t xml:space="preserve"> au intrat în operațiune și au început consilierea psihologică (</w:t>
      </w:r>
      <w:r>
        <w:rPr>
          <w:b w:val="0"/>
          <w:i w:val="0"/>
          <w:highlight w:val="yellow"/>
        </w:rPr>
        <w:t>«17»</w:t>
      </w:r>
      <w:r>
        <w:rPr>
          <w:b w:val="0"/>
          <w:i w:val="0"/>
        </w:rPr>
        <w:t xml:space="preserve"> elevi), campania de informare și conștientizare (</w:t>
      </w:r>
      <w:r>
        <w:rPr>
          <w:b w:val="0"/>
          <w:i w:val="0"/>
          <w:highlight w:val="yellow"/>
        </w:rPr>
        <w:t>«34»</w:t>
      </w:r>
      <w:r>
        <w:rPr>
          <w:b w:val="0"/>
          <w:i w:val="0"/>
        </w:rPr>
        <w:t xml:space="preserve"> de elevi) și programele remediale (</w:t>
      </w:r>
      <w:r>
        <w:rPr>
          <w:b w:val="0"/>
          <w:i w:val="0"/>
          <w:highlight w:val="yellow"/>
        </w:rPr>
        <w:t>«45»</w:t>
      </w:r>
      <w:r>
        <w:rPr>
          <w:b w:val="0"/>
          <w:i w:val="0"/>
        </w:rPr>
        <w:t xml:space="preserve"> de elevi), iar 4 cadre didactice au parcurs programul de formare.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totală de 1.464.000,00 lei, vor fi acordate începând din perioada următoare.</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1.176 / 10.500 (11%)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