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80" w:before="480"/>
        <w:jc w:val="center"/>
      </w:pPr>
      <w:r>
        <w:rPr>
          <w:b/>
          <w:i w:val="0"/>
          <w:sz w:val="28"/>
        </w:rPr>
        <w:t>Raportul de progres nr. 1 (iulie – septembrie 2026) – texte pentru MySMIS2021</w:t>
      </w:r>
    </w:p>
    <w:p>
      <w:pPr>
        <w:spacing w:after="80" w:before="0"/>
        <w:jc w:val="center"/>
      </w:pPr>
      <w:r>
        <w:rPr>
          <w:b w:val="0"/>
          <w:i w:val="0"/>
          <w:sz w:val="22"/>
        </w:rPr>
        <w:t>receptii, principii orizontale</w:t>
      </w:r>
    </w:p>
    <w:p>
      <w:pPr>
        <w:spacing w:after="280" w:before="0"/>
        <w:jc w:val="center"/>
      </w:pPr>
      <w:r>
        <w:rPr>
          <w:b w:val="0"/>
          <w:i w:val="0"/>
          <w:sz w:val="20"/>
        </w:rPr>
        <w:t>Proiect UNIC – „Uniți pentru Nevoile Incluzive și Continuitatea Educației Elevilor”, cod SMIS 352704 | versiunea din 14.10.2026</w:t>
      </w:r>
    </w:p>
    <w:p>
      <w:pPr>
        <w:spacing w:after="200" w:before="0"/>
        <w:jc w:val="both"/>
      </w:pPr>
      <w:r>
        <w:rPr>
          <w:b w:val="0"/>
          <w:i/>
          <w:sz w:val="20"/>
        </w:rPr>
        <w:t xml:space="preserve">Câmpurile sunt în ordinea din MySMIS2021; limitele: 3.500 de caractere pentru „Rezultat obținut” și 10.500 pentru celelalte câmpuri. Numărul de caractere este indicat sub fiecare titlu. Marcajele galbene </w:t>
      </w:r>
      <w:r>
        <w:rPr>
          <w:b w:val="0"/>
          <w:i/>
          <w:sz w:val="20"/>
          <w:highlight w:val="yellow"/>
        </w:rPr>
        <w:t>«…»</w:t>
      </w:r>
      <w:r>
        <w:rPr>
          <w:b w:val="0"/>
          <w:i/>
          <w:sz w:val="20"/>
        </w:rPr>
        <w:t xml:space="preserve"> sunt completări de făcut înainte de transmitere; textele se copiază în MySMIS fără formatare.</w:t>
      </w:r>
    </w:p>
    <w:p>
      <w:pPr>
        <w:spacing w:after="40" w:before="200"/>
      </w:pPr>
      <w:r>
        <w:rPr>
          <w:b/>
          <w:i w:val="0"/>
          <w:sz w:val="24"/>
        </w:rPr>
        <w:t>9.1 Avize, acorduri, autorizații, recepții și execuție contracte de achiziție</w:t>
      </w:r>
    </w:p>
    <w:p>
      <w:pPr>
        <w:spacing w:after="80" w:before="0"/>
      </w:pPr>
      <w:r>
        <w:rPr>
          <w:b w:val="0"/>
          <w:i/>
          <w:color w:val="595959"/>
          <w:sz w:val="18"/>
        </w:rPr>
        <w:t>5.163 / 10.500 caractere</w:t>
      </w:r>
    </w:p>
    <w:p>
      <w:pPr>
        <w:spacing w:after="80" w:before="0"/>
        <w:jc w:val="both"/>
      </w:pPr>
      <w:r>
        <w:rPr>
          <w:b w:val="0"/>
          <w:i w:val="0"/>
        </w:rPr>
        <w:t>În perioada de raportare iulie – septembrie 2026 au fost semnate trei contracte de achiziție (închiriere autoturism, servicii de formare a cadrelor didactice, furnizare echipamente IT), un contract a încetat prin acordul părților și a fost reluat, iar pentru contractele în derulare au fost verificate documentele de începere, de predare-primire și de recepție. Verificarea a fost realizată de Managerul de proiect și de Responsabilul financiar, iar documentele au fost incluse în dosarele de achiziție arhivate fizic și electronic și încărcate în modulul Achiziții din MySMIS2021. Nu au fost necesare avize, acorduri sau autorizații pentru activitățile desfășurate.</w:t>
      </w:r>
    </w:p>
    <w:p>
      <w:pPr>
        <w:spacing w:after="80" w:before="0"/>
        <w:jc w:val="both"/>
      </w:pPr>
      <w:r>
        <w:rPr>
          <w:b w:val="0"/>
          <w:i w:val="0"/>
        </w:rPr>
        <w:t xml:space="preserve">1. Servicii de închiriere autoturism – Vera Travel SRL (Contractul nr. 2026080603/06.08.2026, 30 de luni, 126.000,00 lei fără TVA, plafon lunar de 4.200,00 lei fără TVA). Prestarea a început pe baza Ordinului de începere nr. 2026083115/31.08.2026 și a Procesului-verbal de predare-primire nr. 2026090110/01.09.2026, prin care autoturismul (Toyota hibrid, an de fabricație 2024, cu RCA, CASCO și rovinietă valabile, împreună cu certificatul de înmatriculare și accesoriile obligatorii) a fost preluat de beneficiar fără observații, pentru perioada de 30 de luni începând cu 01.09.2026. În luna septembrie 2026, autoturismul a fost utilizat în 15 zile, pentru deplasările experților la Colegiul Tehnic Turda, Liceul Tehnologic „Vlădeasa” Huedin, Liceul Teologic Reformat Cluj-Napoca și Liceul Tehnologic Energetic Cluj-Napoca, în baza ordinelor de deplasare, cu consumul de combustibil justificat prin bonurile fiscale. Utilizarea este evidențiată în tabelul centralizator lunar al deplasărilor cu autoturismul închiriat (data, traseul, kilometrii parcurși, expertul, bonul fiscal), care stă la baza recepției lunare: la un grad de utilizare de peste 50% din zilele calendaristice, conform art. 4.3 din contract, serviciul lunii septembrie se facturează integral, la plafonul de 4.200,00 lei fără TVA. </w:t>
      </w:r>
      <w:r>
        <w:rPr>
          <w:b w:val="0"/>
          <w:i w:val="0"/>
          <w:highlight w:val="yellow"/>
        </w:rPr>
        <w:t>«Factura nr. … din … pentru luna septembrie 2026 și procesul-verbal de recepție a serviciilor au fost întocmite / urmează să fie emise de prestator»</w:t>
      </w:r>
      <w:r>
        <w:rPr>
          <w:b w:val="0"/>
          <w:i w:val="0"/>
        </w:rPr>
        <w:t>, plata urmând să se facă în termen de 90 de zile de la primirea facturii, după recepție.</w:t>
      </w:r>
    </w:p>
    <w:p>
      <w:pPr>
        <w:spacing w:after="80" w:before="0"/>
        <w:jc w:val="both"/>
      </w:pPr>
      <w:r>
        <w:rPr>
          <w:b w:val="0"/>
          <w:i w:val="0"/>
        </w:rPr>
        <w:t>2. Servicii de formare a cadrelor didactice – Asociația Proeuro-Cons (Contractul nr. 2026082804/28.08.2026, 12.400,00 lei, prestatorul nefiind plătitor de TVA). Contractul și Ordinul de începere nr. 2026082809/28.08.2026 au fost semnate electronic de ambele părți și transmise prestatorului la 01.09, respectiv 04.09.2026. Execuția contractului este în curs: programul de formare de 30 de ore s-a desfășurat online în perioada 10–18.09.2026, pentru cele 4 cadre didactice din grupul țintă, cu participarea verificată prin raportul de participare al platformei și prin capturile de ecran ale sesiunilor; evaluarea finală este programată la 09.10.2026. Conform contractului, recepția serviciilor se realizează după evaluarea finală și eliberarea documentelor de absolvire, pe baza raportului de activitate, a evidențelor nominale și a documentelor de prezență ale furnizorului, urmată de factură și plată; în perioada de raportare nu au fost efectuate recepții sau plăți.</w:t>
      </w:r>
    </w:p>
    <w:p>
      <w:pPr>
        <w:spacing w:after="80" w:before="0"/>
        <w:jc w:val="both"/>
      </w:pPr>
      <w:r>
        <w:rPr>
          <w:b w:val="0"/>
          <w:i w:val="0"/>
        </w:rPr>
        <w:t xml:space="preserve">3. Furnizare echipamente IT – ANILEX SOFT SRL (Contractul nr. 2026091504/15.09.2026, 63.000,00 lei fără TVA, 76.230,00 lei cu TVA). Nota de comandă a fost emisă la 15.09.2026, iar echipamentele au fost livrate la sediul beneficiarului și recepționate cantitativ și calitativ la 18.09.2026, prin Procesul-verbal de predare-primire și recepție semnat electronic de ambele părți, cu seriile fiecărui echipament: 3 laptopuri HP Envy 17 (Intel Core Ultra 5, 16 GB RAM, 512 GB SSD), 1 laptop Acer Nitro V15 (Intel Core i7, 32 GB RAM, 1 TB SSD), 2 desktopuri ZMEU MAX (AMD Ryzen 7, 32 GB RAM, 1 TB SSD, monitor 49”) și 2 multifuncționale Epson WorkForce Pro EM-C8100RDWF (A3, color, duplex, ADF, rețea), toate cu Windows 11 și Microsoft Office 2021 Pro Plus. Factura seria ASF nr. 080/18.09.2026 (76.230,00 lei) a fost achitată integral prin ordinul de plată nr. 2266/18.09.2026 din contul proiectului. Echipamentele </w:t>
      </w:r>
      <w:r>
        <w:rPr>
          <w:b w:val="0"/>
          <w:i w:val="0"/>
          <w:highlight w:val="yellow"/>
        </w:rPr>
        <w:t>«au fost înregistrate în evidența contabilă și repartizate experților pe bază de proces-verbal»</w:t>
      </w:r>
      <w:r>
        <w:rPr>
          <w:b w:val="0"/>
          <w:i w:val="0"/>
        </w:rPr>
        <w:t xml:space="preserve"> și sunt utilizate pentru programele remediale, consiliere și activitatea echipei de proiect; inscripționarea cu elementele de identitate vizuală este prezentată în SA3.1.</w:t>
      </w:r>
    </w:p>
    <w:p>
      <w:pPr>
        <w:spacing w:after="80" w:before="0"/>
        <w:jc w:val="both"/>
      </w:pPr>
      <w:r>
        <w:rPr>
          <w:b w:val="0"/>
          <w:i w:val="0"/>
        </w:rPr>
        <w:t>4. Furnizare echipamente IT – ANILEX SOFT SRL (Contractul nr. 2026081703/17.08.2026, încetat). Contractul, pentru care fusese emisă nota de comandă din 19.08.2026, a încetat prin acordul părților la 09.09.2026 (Decizia nr. 2026090903/09.09.2026), fără pretenții financiare reciproce, după ce furnizorul a comunicat indisponibilitatea modelului de laptop ofertat; nu au fost efectuate livrări, recepții sau plăți în baza acestui contract, iar factura emisă inițial de furnizor (ASF nr. 078/04.09.2026) a fost stornată prin factura ASF nr. 080/18.09.2026 aferentă noului contract. Dosarul din MySMIS2021 a fost actualizat la 11.09.2026.</w:t>
      </w:r>
    </w:p>
    <w:p>
      <w:pPr>
        <w:spacing w:after="80" w:before="0"/>
        <w:jc w:val="both"/>
      </w:pPr>
      <w:r>
        <w:rPr>
          <w:b w:val="0"/>
          <w:i w:val="0"/>
        </w:rPr>
        <w:t>Procedurile pentru serviciile de organizare a târgului de oportunități și pentru serviciile de masă caldă nu au fost demarate în perioada de raportare (detalii în secțiunea 7).</w:t>
      </w:r>
    </w:p>
    <w:p>
      <w:pPr>
        <w:spacing w:after="40" w:before="200"/>
      </w:pPr>
      <w:r>
        <w:rPr>
          <w:b/>
          <w:i w:val="0"/>
          <w:sz w:val="24"/>
        </w:rPr>
        <w:t>9.2 Dificultăți întâmpinate și întârzieri</w:t>
      </w:r>
    </w:p>
    <w:p>
      <w:pPr>
        <w:spacing w:after="80" w:before="0"/>
      </w:pPr>
      <w:r>
        <w:rPr>
          <w:b w:val="0"/>
          <w:i/>
          <w:color w:val="595959"/>
          <w:sz w:val="18"/>
        </w:rPr>
        <w:t>631 / 10.500 caractere</w:t>
      </w:r>
    </w:p>
    <w:p>
      <w:pPr>
        <w:spacing w:after="80" w:before="0"/>
        <w:jc w:val="both"/>
      </w:pPr>
      <w:r>
        <w:rPr>
          <w:b w:val="0"/>
          <w:i w:val="0"/>
        </w:rPr>
        <w:t>Singura dificultate a fost încetarea Contractului de furnizare echipamente IT nr. 2026081703/17.08.2026, la 09.09.2026, din cauza indisponibilității pe piață a modelului de laptop ofertat. Procedura a fost reluată în aceeași săptămână, cu aceleași specificații tehnice și aceeași valoare estimată, iar echipamentele au fost livrate, recepționate și plătite la 18.09.2026, în perioada planificată pentru achiziție (L2–L3), fără impact asupra bugetului și asupra activităților proiectului, care au început în septembrie cu echipamentele puse la dispoziție de beneficiar. Pentru celelalte contracte nu au fost înregistrate întârzieri.</w:t>
      </w:r>
    </w:p>
    <w:p>
      <w:r>
        <w:br w:type="page"/>
      </w:r>
    </w:p>
    <w:p>
      <w:pPr>
        <w:spacing w:after="40" w:before="200"/>
      </w:pPr>
      <w:r>
        <w:rPr>
          <w:b/>
          <w:i w:val="0"/>
          <w:sz w:val="24"/>
        </w:rPr>
        <w:t>15.1.1 Egalitate de gen</w:t>
      </w:r>
    </w:p>
    <w:p>
      <w:pPr>
        <w:spacing w:after="80" w:before="0"/>
      </w:pPr>
      <w:r>
        <w:rPr>
          <w:b w:val="0"/>
          <w:i/>
          <w:color w:val="595959"/>
          <w:sz w:val="18"/>
        </w:rPr>
        <w:t>2.662 / 10.500 caractere</w:t>
      </w:r>
    </w:p>
    <w:p>
      <w:pPr>
        <w:spacing w:after="80" w:before="0"/>
        <w:jc w:val="both"/>
      </w:pPr>
      <w:r>
        <w:rPr>
          <w:b w:val="0"/>
          <w:i w:val="0"/>
        </w:rPr>
        <w:t>În perioada de raportare iulie – septembrie 2026, principiul egalității de șanse și de tratament între femei și bărbați a fost respectat în relația cu toate categoriile de factori interesați (membrii grupului țintă, angajați, furnizori, școli partenere, comunitate), prin măsurile asumate în cererea de finanțare:</w:t>
      </w:r>
    </w:p>
    <w:p>
      <w:pPr>
        <w:spacing w:after="80" w:before="0"/>
        <w:jc w:val="both"/>
      </w:pPr>
      <w:r>
        <w:rPr>
          <w:b w:val="0"/>
          <w:i w:val="0"/>
        </w:rPr>
        <w:t xml:space="preserve">• în relația cu angajații (SA1.1), recrutarea și nominalizarea membrilor echipei s-au făcut exclusiv pe baza cerințelor de studii și experiență din fișele de post, cu respectarea Legii nr. 202/2002 și a OG nr. 137/2000; echipa activă la 30.09.2026 este formată din </w:t>
      </w:r>
      <w:r>
        <w:rPr>
          <w:b w:val="0"/>
          <w:i w:val="0"/>
          <w:highlight w:val="yellow"/>
        </w:rPr>
        <w:t>«10»</w:t>
      </w:r>
      <w:r>
        <w:rPr>
          <w:b w:val="0"/>
          <w:i w:val="0"/>
        </w:rPr>
        <w:t xml:space="preserve"> femei și </w:t>
      </w:r>
      <w:r>
        <w:rPr>
          <w:b w:val="0"/>
          <w:i w:val="0"/>
          <w:highlight w:val="yellow"/>
        </w:rPr>
        <w:t>«1»</w:t>
      </w:r>
      <w:r>
        <w:rPr>
          <w:b w:val="0"/>
          <w:i w:val="0"/>
        </w:rPr>
        <w:t xml:space="preserve"> bărbat. Regulamentul intern al beneficiarului cuprinde prevederile legale care interzic discriminarea. Codul de etică al proiectului, care va stipula expres promovarea și respectarea principiului, este în curs de elaborare și va fi asumat de toți experții în perioada următoare de raportare;</w:t>
      </w:r>
    </w:p>
    <w:p>
      <w:pPr>
        <w:spacing w:after="80" w:before="0"/>
        <w:jc w:val="both"/>
      </w:pPr>
      <w:r>
        <w:rPr>
          <w:b w:val="0"/>
          <w:i w:val="0"/>
        </w:rPr>
        <w:t xml:space="preserve">• în selecția grupului țintă (SA4.1), metodologia de selecție, publicată pe site-ul beneficiarului la 16.07.2026 și actualizată la 15.09.2026, include egalitatea de șanse și nediscriminarea ca principii de bază ale procesului de selecție; criteriile de eligibilitate nu fac nicio distincție pe criterii de sex, iar criteriile de departajare prevăzute în cererea de finanțare includ apartenența la genul feminin. Experții GT au informat fiecare elev și familie, la întâlnirile de informare și recrutare din iulie, august și septembrie 2026, despre importanța acestui principiu în proiect. Dintre cei 97 de elevi intrați în operațiune, </w:t>
      </w:r>
      <w:r>
        <w:rPr>
          <w:b w:val="0"/>
          <w:i w:val="0"/>
          <w:highlight w:val="yellow"/>
        </w:rPr>
        <w:t>«38»</w:t>
      </w:r>
      <w:r>
        <w:rPr>
          <w:b w:val="0"/>
          <w:i w:val="0"/>
        </w:rPr>
        <w:t xml:space="preserve"> sunt fete și </w:t>
      </w:r>
      <w:r>
        <w:rPr>
          <w:b w:val="0"/>
          <w:i w:val="0"/>
          <w:highlight w:val="yellow"/>
        </w:rPr>
        <w:t>«59»</w:t>
      </w:r>
      <w:r>
        <w:rPr>
          <w:b w:val="0"/>
          <w:i w:val="0"/>
        </w:rPr>
        <w:t xml:space="preserve"> sunt băieți, structura reflectând profilul specializărilor din școlile partenere, nu criterii de selecție;</w:t>
      </w:r>
    </w:p>
    <w:p>
      <w:pPr>
        <w:spacing w:after="80" w:before="0"/>
        <w:jc w:val="both"/>
      </w:pPr>
      <w:r>
        <w:rPr>
          <w:b w:val="0"/>
          <w:i w:val="0"/>
        </w:rPr>
        <w:t>• în sesiunile de consiliere (SA5.1), de informare și conștientizare (SA5.3) și în programele remediale (SA5.4), accesul a fost asigurat în condiții egale, iar principiul a fost pus în discuție în activitățile cu elevii: Consilierul psihologic și Expertul comunicare au abordat opțiunile educaționale și profesionale ale elevilor, inclusiv situațiile în care specializarea urmată nu corespunde intereselor lor, pentru prevenirea alegerilor bazate pe stereotipuri de gen; materialele de informare (SA3.1) și instrumentele de lucru ale campaniei prezintă meseriile și traseele educaționale fără mesaje sau imagini stereotipe;</w:t>
      </w:r>
    </w:p>
    <w:p>
      <w:pPr>
        <w:spacing w:after="80" w:before="0"/>
        <w:jc w:val="both"/>
      </w:pPr>
      <w:r>
        <w:rPr>
          <w:b w:val="0"/>
          <w:i w:val="0"/>
        </w:rPr>
        <w:t xml:space="preserve">• în formarea cadrelor didactice (SA5.2), contractul cu furnizorul prevede expres adaptarea suportului de curs la temele orizontale asumate prin proiect, iar programul parcurs în 10–18.09.2026 </w:t>
      </w:r>
      <w:r>
        <w:rPr>
          <w:b w:val="0"/>
          <w:i w:val="0"/>
          <w:highlight w:val="yellow"/>
        </w:rPr>
        <w:t>«a inclus informații despre aplicarea egalității de șanse în activitatea didactică»</w:t>
      </w:r>
      <w:r>
        <w:rPr>
          <w:b w:val="0"/>
          <w:i w:val="0"/>
        </w:rPr>
        <w:t>.</w:t>
      </w:r>
    </w:p>
    <w:p>
      <w:pPr>
        <w:spacing w:after="80" w:before="0"/>
        <w:jc w:val="both"/>
      </w:pPr>
      <w:r>
        <w:rPr>
          <w:b w:val="0"/>
          <w:i w:val="0"/>
        </w:rPr>
        <w:t>În perioada de raportare nu au fost semnalate situații de tratament diferențiat pe criterii de sex sau gen.</w:t>
      </w:r>
    </w:p>
    <w:p>
      <w:pPr>
        <w:spacing w:after="40" w:before="200"/>
      </w:pPr>
      <w:r>
        <w:rPr>
          <w:b/>
          <w:i w:val="0"/>
          <w:sz w:val="24"/>
        </w:rPr>
        <w:t>15.1.2 Nediscriminare</w:t>
      </w:r>
    </w:p>
    <w:p>
      <w:pPr>
        <w:spacing w:after="80" w:before="0"/>
      </w:pPr>
      <w:r>
        <w:rPr>
          <w:b w:val="0"/>
          <w:i/>
          <w:color w:val="595959"/>
          <w:sz w:val="18"/>
        </w:rPr>
        <w:t>3.084 / 10.500 caractere</w:t>
      </w:r>
    </w:p>
    <w:p>
      <w:pPr>
        <w:spacing w:after="80" w:before="0"/>
        <w:jc w:val="both"/>
      </w:pPr>
      <w:r>
        <w:rPr>
          <w:b w:val="0"/>
          <w:i w:val="0"/>
        </w:rPr>
        <w:t>În perioada de raportare iulie – septembrie 2026, principiul nediscriminării a fost respectat conform angajamentelor din cererea de finanțare, în activitățile specifice și în cele transversale, fără promovarea vreunui criteriu sau vreunei acțiuni care să lezeze principiul pe motive de gen, orientare sexuală, vârstă, dizabilitate, boală cronică, etnie sau alte criterii:</w:t>
      </w:r>
    </w:p>
    <w:p>
      <w:pPr>
        <w:spacing w:after="80" w:before="0"/>
        <w:jc w:val="both"/>
      </w:pPr>
      <w:r>
        <w:rPr>
          <w:b w:val="0"/>
          <w:i w:val="0"/>
        </w:rPr>
        <w:t>• la nivel organizatoric (SA1.1), personalul a fost informat la angajare și în întâlnirile de management cu privire la drepturile și obligațiile proprii și ale grupului țintă sprijinit; regulamentul intern al beneficiarului prevede sancțiuni, în condițiile legii, pentru angajații care nu respectă principiul nediscriminării;</w:t>
      </w:r>
    </w:p>
    <w:p>
      <w:pPr>
        <w:spacing w:after="80" w:before="0"/>
        <w:jc w:val="both"/>
      </w:pPr>
      <w:r>
        <w:rPr>
          <w:b w:val="0"/>
          <w:i w:val="0"/>
        </w:rPr>
        <w:t xml:space="preserve">• în selecția grupului țintă (SA4.1 și SA4.2), procesul s-a derulat transparent și nediscriminatoriu: metodologia publicată prevede criterii de eligibilitate și de departajare aplicate uniform tuturor candidaților, cu prioritate pentru elevii de etnie romă și pentru elevii cu dizabilități; Experții GT au informat fiecare beneficiar despre importanța principiului. Recrutarea a vizat elevi din mediul rural și din localități mici (structura Poiana Turda, zona Huedin), elevi din familii vulnerabile sau cu părinți plecați în străinătate și copii din sistemul de protecție specială, iar familiile cu dificultăți la completarea dosarelor au fost sprijinite direct de experți. Dintre cei 97 de elevi intrați în operațiune, </w:t>
      </w:r>
      <w:r>
        <w:rPr>
          <w:b w:val="0"/>
          <w:i w:val="0"/>
          <w:highlight w:val="yellow"/>
        </w:rPr>
        <w:t>«…»</w:t>
      </w:r>
      <w:r>
        <w:rPr>
          <w:b w:val="0"/>
          <w:i w:val="0"/>
        </w:rPr>
        <w:t xml:space="preserve"> sunt de etnie romă (ținta proiectului: minimum 81). Temerile unor părinți privind etichetarea copiilor, semnalate în ședința de management din 18.09.2026, au fost gestionate prin discuții individuale și prin explicarea confidențialității datelor;</w:t>
      </w:r>
    </w:p>
    <w:p>
      <w:pPr>
        <w:spacing w:after="80" w:before="0"/>
        <w:jc w:val="both"/>
      </w:pPr>
      <w:r>
        <w:rPr>
          <w:b w:val="0"/>
          <w:i w:val="0"/>
        </w:rPr>
        <w:t xml:space="preserve">• în activitățile cu elevii (SA5.1, SA5.3, SA5.4), consilierea, informarea și programele remediale au fost oferite gratuit tuturor elevilor din grupul țintă, în școlile în care învață sau în spații publice din localitățile lor, în afara programului școlar, iar principiul a fost pus în discuție în sesiuni (regulile de grup, confidențialitatea și respectul reciproc stabilite de Consilierul psihologic; activitățile de intercunoaștere din campania de informare). Colaborarea cu Liceul Teologic Reformat Cluj-Napoca a extins accesul la proiect pentru elevi dintr-o unitate de învățământ confesională </w:t>
      </w:r>
      <w:r>
        <w:rPr>
          <w:b w:val="0"/>
          <w:i w:val="0"/>
          <w:highlight w:val="yellow"/>
        </w:rPr>
        <w:t>«cu predare în limba maghiară – de confirmat»</w:t>
      </w:r>
      <w:r>
        <w:rPr>
          <w:b w:val="0"/>
          <w:i w:val="0"/>
        </w:rPr>
        <w:t>;</w:t>
      </w:r>
    </w:p>
    <w:p>
      <w:pPr>
        <w:spacing w:after="80" w:before="0"/>
        <w:jc w:val="both"/>
      </w:pPr>
      <w:r>
        <w:rPr>
          <w:b w:val="0"/>
          <w:i w:val="0"/>
        </w:rPr>
        <w:t>• măsurile directe care promovează incluziunea elevilor din grupuri vulnerabile – sprijinul financiar pentru cazare, masă și transport (SA5.1) și masa caldă pentru participanții la programele remediale (SA5.4), cu buget total de 1.488.000,00 lei asumat pentru această temă – se acordă începând din perioada următoare, după validarea grupului țintă și contractarea serviciilor;</w:t>
      </w:r>
    </w:p>
    <w:p>
      <w:pPr>
        <w:spacing w:after="80" w:before="0"/>
        <w:jc w:val="both"/>
      </w:pPr>
      <w:r>
        <w:rPr>
          <w:b w:val="0"/>
          <w:i w:val="0"/>
        </w:rPr>
        <w:t xml:space="preserve">• în formarea cadrelor didactice (SA5.2), programul a abordat lucrul cu elevii aflați în risc educațional și din grupuri vulnerabile, fără etichetare sau excludere, </w:t>
      </w:r>
      <w:r>
        <w:rPr>
          <w:b w:val="0"/>
          <w:i w:val="0"/>
          <w:highlight w:val="yellow"/>
        </w:rPr>
        <w:t>«inclusiv aplicarea principiului nediscriminării în activitatea didactică»</w:t>
      </w:r>
      <w:r>
        <w:rPr>
          <w:b w:val="0"/>
          <w:i w:val="0"/>
        </w:rPr>
        <w:t>.</w:t>
      </w:r>
    </w:p>
    <w:p>
      <w:pPr>
        <w:spacing w:after="80" w:before="0"/>
        <w:jc w:val="both"/>
      </w:pPr>
      <w:r>
        <w:rPr>
          <w:b w:val="0"/>
          <w:i w:val="0"/>
        </w:rPr>
        <w:t>În perioada de raportare nu au fost semnalate situații de excludere, restricționare a accesului sau tratament diferențiat pe criterii discriminatorii.</w:t>
      </w:r>
    </w:p>
    <w:p>
      <w:pPr>
        <w:spacing w:after="40" w:before="200"/>
      </w:pPr>
      <w:r>
        <w:rPr>
          <w:b/>
          <w:i w:val="0"/>
          <w:sz w:val="24"/>
        </w:rPr>
        <w:t>15.1.3 Accesibilitatea pentru persoanele cu dizabilități</w:t>
      </w:r>
    </w:p>
    <w:p>
      <w:pPr>
        <w:spacing w:after="80" w:before="0"/>
      </w:pPr>
      <w:r>
        <w:rPr>
          <w:b w:val="0"/>
          <w:i/>
          <w:color w:val="595959"/>
          <w:sz w:val="18"/>
        </w:rPr>
        <w:t>2.058 / 10.500 caractere</w:t>
      </w:r>
    </w:p>
    <w:p>
      <w:pPr>
        <w:spacing w:after="80" w:before="0"/>
        <w:jc w:val="both"/>
      </w:pPr>
      <w:r>
        <w:rPr>
          <w:b w:val="0"/>
          <w:i w:val="0"/>
        </w:rPr>
        <w:t>În perioada de raportare iulie – septembrie 2026, accesibilitatea a fost asigurată conform angajamentelor din cererea de finanțare:</w:t>
      </w:r>
    </w:p>
    <w:p>
      <w:pPr>
        <w:spacing w:after="80" w:before="0"/>
        <w:jc w:val="both"/>
      </w:pPr>
      <w:r>
        <w:rPr>
          <w:b w:val="0"/>
          <w:i w:val="0"/>
        </w:rPr>
        <w:t>• activitățile cu grupul țintă (consiliere psihologică, informare și conștientizare, programe remediale) s-au desfășurat în clădirile unităților de învățământ în care învață elevii și în spații publice din localitățile acestora (Casa de Cultură și Primăria Huedin), accesibile tuturor participanților; întâlnirile de informare și recrutare au fost organizate în școli, la orele convenite cu conducerile acestora, iar documentele au fost completate împreună cu familiile, la fața locului;</w:t>
      </w:r>
    </w:p>
    <w:p>
      <w:pPr>
        <w:spacing w:after="80" w:before="0"/>
        <w:jc w:val="both"/>
      </w:pPr>
      <w:r>
        <w:rPr>
          <w:b w:val="0"/>
          <w:i w:val="0"/>
        </w:rPr>
        <w:t>• acolo unde a fost posibil, activitățile s-au derulat online, pentru eliminarea barierelor de acces: formarea cadrelor didactice integral online, două dintre cele cinci întâlniri de management prin platforma Zoom;</w:t>
      </w:r>
    </w:p>
    <w:p>
      <w:pPr>
        <w:spacing w:after="80" w:before="0"/>
        <w:jc w:val="both"/>
      </w:pPr>
      <w:r>
        <w:rPr>
          <w:b w:val="0"/>
          <w:i w:val="0"/>
        </w:rPr>
        <w:t xml:space="preserve">• metodologia de selecție include criteriul de departajare care acordă prioritate persoanelor cu dizabilități și prevede identificarea, după selecție, a numărului persoanelor cu dizabilități și a formelor acestora, pentru adaptarea activităților; dosarele de grup țintă și confirmările școlare consemnează situațiile de dizabilitate sau de cerințe educaționale speciale, iar Cadrul didactic 3 a ținut cont, la constituirea grupului remedial de la Liceul Teologic Reformat Cluj-Napoca, de elevii cu cerințe educaționale speciale semnalați de diriginte. </w:t>
      </w:r>
      <w:r>
        <w:rPr>
          <w:b w:val="0"/>
          <w:i w:val="0"/>
          <w:highlight w:val="yellow"/>
        </w:rPr>
        <w:t>«În perioada de raportare au fost incluși … elevi cu dizabilități / cu CES; nu au fost înregistrați participanți cu dizabilități.»</w:t>
      </w:r>
      <w:r>
        <w:rPr>
          <w:b w:val="0"/>
          <w:i w:val="0"/>
        </w:rPr>
        <w:t>;</w:t>
      </w:r>
    </w:p>
    <w:p>
      <w:pPr>
        <w:spacing w:after="80" w:before="0"/>
        <w:jc w:val="both"/>
      </w:pPr>
      <w:r>
        <w:rPr>
          <w:b w:val="0"/>
          <w:i w:val="0"/>
        </w:rPr>
        <w:t>• materialele elaborate (flyere, afiș, formulare, fișe de lucru, chestionare) au evitat stereotipurile asociate grupurilor vulnerabile și au fost redactate într-un limbaj simplu, adaptat vârstei, experții explicând direct conținutul documentelor elevilor și părinților;</w:t>
      </w:r>
    </w:p>
    <w:p>
      <w:pPr>
        <w:spacing w:after="80" w:before="0"/>
        <w:jc w:val="both"/>
      </w:pPr>
      <w:r>
        <w:rPr>
          <w:b w:val="0"/>
          <w:i w:val="0"/>
        </w:rPr>
        <w:t xml:space="preserve">• principiul a fost pus în discuție în sesiunile de consiliere și de informare, iar în formarea cadrelor didactice </w:t>
      </w:r>
      <w:r>
        <w:rPr>
          <w:b w:val="0"/>
          <w:i w:val="0"/>
          <w:highlight w:val="yellow"/>
        </w:rPr>
        <w:t>«au fost incluse informații despre aplicarea sa în activitatea didactică»</w:t>
      </w:r>
      <w:r>
        <w:rPr>
          <w:b w:val="0"/>
          <w:i w:val="0"/>
        </w:rPr>
        <w:t>.</w:t>
      </w:r>
    </w:p>
    <w:p>
      <w:pPr>
        <w:spacing w:after="80" w:before="0"/>
        <w:jc w:val="both"/>
      </w:pPr>
      <w:r>
        <w:rPr>
          <w:b w:val="0"/>
          <w:i w:val="0"/>
        </w:rPr>
        <w:t>Nu au fost semnalate situații în care accesul la activități să fi fost limitat.</w:t>
      </w:r>
    </w:p>
    <w:p>
      <w:pPr>
        <w:spacing w:after="40" w:before="200"/>
      </w:pPr>
      <w:r>
        <w:rPr>
          <w:b/>
          <w:i w:val="0"/>
          <w:sz w:val="24"/>
        </w:rPr>
        <w:t>15.1.4 Schimbări demografice</w:t>
      </w:r>
    </w:p>
    <w:p>
      <w:pPr>
        <w:spacing w:after="80" w:before="0"/>
      </w:pPr>
      <w:r>
        <w:rPr>
          <w:b w:val="0"/>
          <w:i/>
          <w:color w:val="595959"/>
          <w:sz w:val="18"/>
        </w:rPr>
        <w:t>555 / 10.500 caractere</w:t>
      </w:r>
    </w:p>
    <w:p>
      <w:pPr>
        <w:spacing w:after="80" w:before="0"/>
        <w:jc w:val="both"/>
      </w:pPr>
      <w:r>
        <w:rPr>
          <w:b w:val="0"/>
          <w:i w:val="0"/>
        </w:rPr>
        <w:t>În cererea de finanțare nu au fost asumate măsuri specifice pentru acest principiu. Indirect, proiectul contribuie la atenuarea efectelor schimbărilor demografice prin menținerea în sistemul educațional a elevilor din mediul rural și din localitățile mici, inclusiv a celor cu părinți plecați la muncă în străinătate, și prin creșterea șanselor lor de a obține o calificare și de a se integra pe piața muncii locale; în perioada de raportare au fost recrutați și au început activitățile elevi din zona Turda (inclusiv structura Poiana) și din zona Huedin.</w:t>
      </w:r>
    </w:p>
    <w:p>
      <w:pPr>
        <w:spacing w:after="40" w:before="200"/>
      </w:pPr>
      <w:r>
        <w:rPr>
          <w:b/>
          <w:i w:val="0"/>
          <w:sz w:val="24"/>
        </w:rPr>
        <w:t>15.2.1 Poluatorul plătește</w:t>
      </w:r>
    </w:p>
    <w:p>
      <w:pPr>
        <w:spacing w:after="80" w:before="0"/>
      </w:pPr>
      <w:r>
        <w:rPr>
          <w:b w:val="0"/>
          <w:i/>
          <w:color w:val="595959"/>
          <w:sz w:val="18"/>
        </w:rPr>
        <w:t>497 / 10.500 caractere</w:t>
      </w:r>
    </w:p>
    <w:p>
      <w:pPr>
        <w:spacing w:after="80" w:before="0"/>
        <w:jc w:val="both"/>
      </w:pPr>
      <w:r>
        <w:rPr>
          <w:b w:val="0"/>
          <w:i w:val="0"/>
        </w:rPr>
        <w:t>Activitățile desfășurate în perioada de raportare (management, selecția grupului țintă, consiliere, informare, programe remediale, formare, achiziții de servicii și echipamente) nu au reprezentat risc de poluare. Beneficiarul își asumă, conform cererii de finanțare, Directivei 2004/35/CE și OUG nr. 68/2007, suportarea cheltuielilor pentru prevenirea oricărei poluări accidentale a mediului în zona de activitate și pentru remedierea eventualelor pagube; în perioada de raportare nu a fost cazul.</w:t>
      </w:r>
    </w:p>
    <w:p>
      <w:pPr>
        <w:spacing w:after="40" w:before="200"/>
      </w:pPr>
      <w:r>
        <w:rPr>
          <w:b/>
          <w:i w:val="0"/>
          <w:sz w:val="24"/>
        </w:rPr>
        <w:t>15.2.2 Protecția biodiversității</w:t>
      </w:r>
    </w:p>
    <w:p>
      <w:pPr>
        <w:spacing w:after="80" w:before="0"/>
      </w:pPr>
      <w:r>
        <w:rPr>
          <w:b w:val="0"/>
          <w:i/>
          <w:color w:val="595959"/>
          <w:sz w:val="18"/>
        </w:rPr>
        <w:t>373 / 10.500 caractere</w:t>
      </w:r>
    </w:p>
    <w:p>
      <w:pPr>
        <w:spacing w:after="80" w:before="0"/>
        <w:jc w:val="both"/>
      </w:pPr>
      <w:r>
        <w:rPr>
          <w:b w:val="0"/>
          <w:i w:val="0"/>
        </w:rPr>
        <w:t>Activitățile proiectului nu s-au desfășurat în arii naturale protejate sau în proximitatea acestora și nu au avut impact asupra biodiversității sau ecosistemelor; achizițiile realizate (închiriere autoturism, servicii de formare, echipamente IT) nu afectează mediul înconjurător. Beneficiarul respectă OUG nr. 195/2005 privind protecția mediului în activitatea desfășurată.</w:t>
      </w:r>
    </w:p>
    <w:p>
      <w:pPr>
        <w:spacing w:after="40" w:before="200"/>
      </w:pPr>
      <w:r>
        <w:rPr>
          <w:b/>
          <w:i w:val="0"/>
          <w:sz w:val="24"/>
        </w:rPr>
        <w:t>15.2.3 Utilizarea eficientă a resurselor</w:t>
      </w:r>
    </w:p>
    <w:p>
      <w:pPr>
        <w:spacing w:after="80" w:before="0"/>
      </w:pPr>
      <w:r>
        <w:rPr>
          <w:b w:val="0"/>
          <w:i/>
          <w:color w:val="595959"/>
          <w:sz w:val="18"/>
        </w:rPr>
        <w:t>1.126 / 10.500 caractere</w:t>
      </w:r>
    </w:p>
    <w:p>
      <w:pPr>
        <w:spacing w:after="80" w:before="0"/>
        <w:jc w:val="both"/>
      </w:pPr>
      <w:r>
        <w:rPr>
          <w:b w:val="0"/>
          <w:i w:val="0"/>
        </w:rPr>
        <w:t>În perioada de raportare iulie – septembrie 2026, măsurile asumate în cererea de finanțare au fost aplicate astfel:</w:t>
      </w:r>
    </w:p>
    <w:p>
      <w:pPr>
        <w:spacing w:after="80" w:before="0"/>
        <w:jc w:val="both"/>
      </w:pPr>
      <w:r>
        <w:rPr>
          <w:b w:val="0"/>
          <w:i w:val="0"/>
        </w:rPr>
        <w:t>• semnături digitale: toți membrii echipei dețin semnătură electronică, iar rapoartele de activitate, fișele de pontaj, livrabilele, minutele, metodologiile, contractele și documentele de achiziție au fost semnate digital și transmise, verificate și arhivate electronic, evitând tipărirea, deplasările pentru predarea documentelor și costurile de curierat;</w:t>
      </w:r>
    </w:p>
    <w:p>
      <w:pPr>
        <w:spacing w:after="80" w:before="0"/>
        <w:jc w:val="both"/>
      </w:pPr>
      <w:r>
        <w:rPr>
          <w:b w:val="0"/>
          <w:i w:val="0"/>
        </w:rPr>
        <w:t>• planificarea judicioasă a resurselor materiale: documentele care au necesitat tipărire au fost imprimate față-verso, materialele de informare au fost tipărite în numărul necesar și distribuite și electronic prin școli, iar echipamentele IT au fost achiziționate în numărul strict necesar, pe baza referatului de necesitate;</w:t>
      </w:r>
    </w:p>
    <w:p>
      <w:pPr>
        <w:spacing w:after="80" w:before="0"/>
        <w:jc w:val="both"/>
      </w:pPr>
      <w:r>
        <w:rPr>
          <w:b w:val="0"/>
          <w:i w:val="0"/>
        </w:rPr>
        <w:t xml:space="preserve">• reciclarea deșeurilor: deșeurile de hârtie, plastic și metal sunt colectate separat la sediul beneficiarului, </w:t>
      </w:r>
      <w:r>
        <w:rPr>
          <w:b w:val="0"/>
          <w:i w:val="0"/>
          <w:highlight w:val="yellow"/>
        </w:rPr>
        <w:t>«reciclarea în sistem externalizat realizându-se pe baza contractului cu firma specializată …»</w:t>
      </w:r>
      <w:r>
        <w:rPr>
          <w:b w:val="0"/>
          <w:i w:val="0"/>
        </w:rPr>
        <w:t>;</w:t>
      </w:r>
    </w:p>
    <w:p>
      <w:pPr>
        <w:spacing w:after="80" w:before="0"/>
        <w:jc w:val="both"/>
      </w:pPr>
      <w:r>
        <w:rPr>
          <w:b w:val="0"/>
          <w:i w:val="0"/>
        </w:rPr>
        <w:t xml:space="preserve">• </w:t>
      </w:r>
      <w:r>
        <w:rPr>
          <w:b w:val="0"/>
          <w:i w:val="0"/>
          <w:highlight w:val="yellow"/>
        </w:rPr>
        <w:t>«economizorul de apă temporizat pentru robinete a fost instalat / urmează să fie instalat la sediul de implementare»</w:t>
      </w:r>
      <w:r>
        <w:rPr>
          <w:b w:val="0"/>
          <w:i w:val="0"/>
        </w:rPr>
        <w:t>.</w:t>
      </w:r>
    </w:p>
    <w:p>
      <w:pPr>
        <w:spacing w:after="40" w:before="200"/>
      </w:pPr>
      <w:r>
        <w:rPr>
          <w:b/>
          <w:i w:val="0"/>
          <w:sz w:val="24"/>
        </w:rPr>
        <w:t>15.2.4 Reziliența la dezastre</w:t>
      </w:r>
    </w:p>
    <w:p>
      <w:pPr>
        <w:spacing w:after="80" w:before="0"/>
      </w:pPr>
      <w:r>
        <w:rPr>
          <w:b w:val="0"/>
          <w:i/>
          <w:color w:val="595959"/>
          <w:sz w:val="18"/>
        </w:rPr>
        <w:t>311 / 10.500 caractere</w:t>
      </w:r>
    </w:p>
    <w:p>
      <w:pPr>
        <w:spacing w:after="80" w:before="0"/>
        <w:jc w:val="both"/>
      </w:pPr>
      <w:r>
        <w:rPr>
          <w:b w:val="0"/>
          <w:i w:val="0"/>
        </w:rPr>
        <w:t>Activitățile proiectului nu afectează condițiile de mediu privind protecția biodiversității. Conform cererii de finanțare, la sediul de implementare sunt asigurate măsurile privind utilizarea apei potabile și a apei menajere; în perioada de raportare nu au existat situații care să necesite măsuri suplimentare.</w:t>
      </w:r>
    </w:p>
    <w:p>
      <w:pPr>
        <w:spacing w:after="40" w:before="200"/>
      </w:pPr>
      <w:r>
        <w:rPr>
          <w:b/>
          <w:i w:val="0"/>
          <w:sz w:val="24"/>
        </w:rPr>
        <w:t>15.2.5 Imunizarea la schimbările climatice</w:t>
      </w:r>
    </w:p>
    <w:p>
      <w:pPr>
        <w:spacing w:after="80" w:before="0"/>
      </w:pPr>
      <w:r>
        <w:rPr>
          <w:b w:val="0"/>
          <w:i/>
          <w:color w:val="595959"/>
          <w:sz w:val="18"/>
        </w:rPr>
        <w:t>1.181 / 10.500 caractere</w:t>
      </w:r>
    </w:p>
    <w:p>
      <w:pPr>
        <w:spacing w:after="80" w:before="0"/>
        <w:jc w:val="both"/>
      </w:pPr>
      <w:r>
        <w:rPr>
          <w:b w:val="0"/>
          <w:i w:val="0"/>
        </w:rPr>
        <w:t>În perioada de raportare iulie – septembrie 2026:</w:t>
      </w:r>
    </w:p>
    <w:p>
      <w:pPr>
        <w:spacing w:after="80" w:before="0"/>
        <w:jc w:val="both"/>
      </w:pPr>
      <w:r>
        <w:rPr>
          <w:b w:val="0"/>
          <w:i w:val="0"/>
        </w:rPr>
        <w:t>• echipamentele IT achiziționate (laptopuri, desktopuri, multifuncționale) au fost alese cu specificații care asigură un consum redus de energie, o durată de viață extinsă și funcții de economisire (imprimare duplex automată), reducând costurile de întreținere și impactul asupra mediului;</w:t>
      </w:r>
    </w:p>
    <w:p>
      <w:pPr>
        <w:spacing w:after="80" w:before="0"/>
        <w:jc w:val="both"/>
      </w:pPr>
      <w:r>
        <w:rPr>
          <w:b w:val="0"/>
          <w:i w:val="0"/>
        </w:rPr>
        <w:t>• deplasările care presupun consum de combustibil au fost reduse în favoarea comunicării electronice: formarea cadrelor didactice s-a desfășurat integral online, două întâlniri de management au avut loc pe Zoom, iar deplasările în teren au fost grupate, cu un singur autoturism (hibrid), pentru mai multe activități în aceeași zi;</w:t>
      </w:r>
    </w:p>
    <w:p>
      <w:pPr>
        <w:spacing w:after="80" w:before="0"/>
        <w:jc w:val="both"/>
      </w:pPr>
      <w:r>
        <w:rPr>
          <w:b w:val="0"/>
          <w:i w:val="0"/>
        </w:rPr>
        <w:t xml:space="preserve">• principiul DNSH va fi inclus în fiecare acțiune a campaniei de informare și conștientizare, prin mențiuni privind aplicarea lui în viața de zi cu zi a beneficiarilor; în perioada de raportare campania s-a aflat în etapa de analiză a nevoilor, materialele de campanie urmând să fie realizate din luna octombrie 2026. În formarea cadrelor didactice, contractul prevede abordarea temelor orizontale ale proiectului, </w:t>
      </w:r>
      <w:r>
        <w:rPr>
          <w:b w:val="0"/>
          <w:i w:val="0"/>
          <w:highlight w:val="yellow"/>
        </w:rPr>
        <w:t>«suportul de curs incluzând informații despre aplicarea principiului în activitatea didactică»</w:t>
      </w:r>
      <w:r>
        <w:rPr>
          <w:b w:val="0"/>
          <w:i w:val="0"/>
        </w:rPr>
        <w:t>.</w:t>
      </w:r>
    </w:p>
    <w:p>
      <w:pPr>
        <w:spacing w:after="40" w:before="200"/>
      </w:pPr>
      <w:r>
        <w:rPr>
          <w:b/>
          <w:i w:val="0"/>
          <w:sz w:val="24"/>
        </w:rPr>
        <w:t>15.2.6 Principiul „de a nu prejudicia în mod semnificativ” (DNSH)</w:t>
      </w:r>
    </w:p>
    <w:p>
      <w:pPr>
        <w:spacing w:after="80" w:before="0"/>
      </w:pPr>
      <w:r>
        <w:rPr>
          <w:b w:val="0"/>
          <w:i/>
          <w:color w:val="595959"/>
          <w:sz w:val="18"/>
        </w:rPr>
        <w:t>1.797 / 10.500 caractere</w:t>
      </w:r>
    </w:p>
    <w:p>
      <w:pPr>
        <w:spacing w:after="80" w:before="0"/>
        <w:jc w:val="both"/>
      </w:pPr>
      <w:r>
        <w:rPr>
          <w:b w:val="0"/>
          <w:i w:val="0"/>
        </w:rPr>
        <w:t>În perioada de raportare, activitățile proiectului au avut caracter educațional, social și de management și nu au presupus lucrări, intervenții asupra terenurilor sau habitatelor ori procese generatoare de emisii sau deșeuri semnificative; ele nu au avut efecte negative semnificative asupra niciunuia dintre cele șase obiective de mediu. Măsurile de dezvoltare durabilă asumate în cererea de finanțare au fost aplicate astfel:</w:t>
      </w:r>
    </w:p>
    <w:p>
      <w:pPr>
        <w:spacing w:after="80" w:before="0"/>
        <w:jc w:val="both"/>
      </w:pPr>
      <w:r>
        <w:rPr>
          <w:b w:val="0"/>
          <w:i w:val="0"/>
        </w:rPr>
        <w:t xml:space="preserve">• achiziții: documentațiile de achiziție a echipamentelor IT au inclus </w:t>
      </w:r>
      <w:r>
        <w:rPr>
          <w:b w:val="0"/>
          <w:i w:val="0"/>
          <w:highlight w:val="yellow"/>
        </w:rPr>
        <w:t>«criterii de eficiență energetică și de durată de viață»</w:t>
      </w:r>
      <w:r>
        <w:rPr>
          <w:b w:val="0"/>
          <w:i w:val="0"/>
        </w:rPr>
        <w:t>, în acord cu criteriile „verzi” (Legea nr. 69/2016); echipamentele care vor ieși din uz vor fi reciclate selectiv la cel mai apropiat punct de colectare autorizat, iar mentenanța lor se asigură pentru evitarea uzurii premature;</w:t>
      </w:r>
    </w:p>
    <w:p>
      <w:pPr>
        <w:spacing w:after="80" w:before="0"/>
        <w:jc w:val="both"/>
      </w:pPr>
      <w:r>
        <w:rPr>
          <w:b w:val="0"/>
          <w:i w:val="0"/>
        </w:rPr>
        <w:t>• eficiența în utilizarea materialelor: imprimare față-verso, semnături digitale și gestionarea electronică a documentelor (transmitere, verificare și arhivare în format electronic), colectarea separată a deșeurilor de hârtie, metal, plastic și sticlă la sediul beneficiarului;</w:t>
      </w:r>
    </w:p>
    <w:p>
      <w:pPr>
        <w:spacing w:after="80" w:before="0"/>
        <w:jc w:val="both"/>
      </w:pPr>
      <w:r>
        <w:rPr>
          <w:b w:val="0"/>
          <w:i w:val="0"/>
        </w:rPr>
        <w:t>• evitarea reuniunilor suplimentare cu deplasare: aspectele curente au fost clarificate online sau telefonic, iar două dintre cele cinci întâlniri de management s-au desfășurat pe Zoom;</w:t>
      </w:r>
    </w:p>
    <w:p>
      <w:pPr>
        <w:spacing w:after="80" w:before="0"/>
        <w:jc w:val="both"/>
      </w:pPr>
      <w:r>
        <w:rPr>
          <w:b w:val="0"/>
          <w:i w:val="0"/>
        </w:rPr>
        <w:t xml:space="preserve">• informarea personalului: </w:t>
      </w:r>
      <w:r>
        <w:rPr>
          <w:b w:val="0"/>
          <w:i w:val="0"/>
          <w:highlight w:val="yellow"/>
        </w:rPr>
        <w:t>«sesiunea informativă privind eficiența în utilizarea resurselor, dedicată angajaților, și afișarea materialelor la sediul de implementare sunt planificate pentru perioada următoare / au fost realizate la …»</w:t>
      </w:r>
      <w:r>
        <w:rPr>
          <w:b w:val="0"/>
          <w:i w:val="0"/>
        </w:rPr>
        <w:t>;</w:t>
      </w:r>
    </w:p>
    <w:p>
      <w:pPr>
        <w:spacing w:after="80" w:before="0"/>
        <w:jc w:val="both"/>
      </w:pPr>
      <w:r>
        <w:rPr>
          <w:b w:val="0"/>
          <w:i w:val="0"/>
        </w:rPr>
        <w:t xml:space="preserve">• în campania de informare și conștientizare (SA5.3) și în formarea cadrelor didactice (SA5.2), tema dezvoltării durabile și principiul DNSH se includ în materialele de lucru, conform angajamentelor, pe măsura realizării materialelor campaniei (din octombrie 2026) </w:t>
      </w:r>
      <w:r>
        <w:rPr>
          <w:b w:val="0"/>
          <w:i w:val="0"/>
          <w:highlight w:val="yellow"/>
        </w:rPr>
        <w:t>«și conform suportului de curs al furnizorului»</w:t>
      </w:r>
      <w:r>
        <w:rPr>
          <w:b w:val="0"/>
          <w:i w:val="0"/>
        </w:rPr>
        <w:t>.</w:t>
      </w:r>
    </w:p>
    <w:p>
      <w:pPr>
        <w:spacing w:after="40" w:before="200"/>
      </w:pPr>
      <w:r>
        <w:rPr>
          <w:b/>
          <w:i w:val="0"/>
          <w:sz w:val="24"/>
        </w:rPr>
        <w:t>15.2.7 Măsuri de evitare și reducere a efectelor reziduale</w:t>
      </w:r>
    </w:p>
    <w:p>
      <w:pPr>
        <w:spacing w:after="80" w:before="0"/>
      </w:pPr>
      <w:r>
        <w:rPr>
          <w:b w:val="0"/>
          <w:i/>
          <w:color w:val="595959"/>
          <w:sz w:val="18"/>
        </w:rPr>
        <w:t>130 / 10.500 caractere</w:t>
      </w:r>
    </w:p>
    <w:p>
      <w:pPr>
        <w:spacing w:after="80" w:before="0"/>
        <w:jc w:val="both"/>
      </w:pPr>
      <w:r>
        <w:rPr>
          <w:b w:val="0"/>
          <w:i w:val="0"/>
        </w:rPr>
        <w:t>Nu este cazul pentru tipul de activități desfășurate în perioada de raportare, care nu generează efecte reziduale asupra mediului.</w:t>
      </w:r>
    </w:p>
    <w:p>
      <w:pPr>
        <w:spacing w:after="40" w:before="200"/>
      </w:pPr>
      <w:r>
        <w:rPr>
          <w:b/>
          <w:i w:val="0"/>
          <w:sz w:val="24"/>
        </w:rPr>
        <w:t>15.2.8 Teme secundare</w:t>
      </w:r>
    </w:p>
    <w:p>
      <w:pPr>
        <w:spacing w:after="80" w:before="0"/>
      </w:pPr>
      <w:r>
        <w:rPr>
          <w:b w:val="0"/>
          <w:i/>
          <w:color w:val="595959"/>
          <w:sz w:val="18"/>
        </w:rPr>
        <w:t>1.213 / 10.500 caractere</w:t>
      </w:r>
    </w:p>
    <w:p>
      <w:pPr>
        <w:spacing w:after="80" w:before="0"/>
        <w:jc w:val="both"/>
      </w:pPr>
      <w:r>
        <w:rPr>
          <w:b w:val="0"/>
          <w:i w:val="0"/>
        </w:rPr>
        <w:t>Proiectul contribuie la temele secundare FSE+ asumate în cererea de finanțare:</w:t>
      </w:r>
    </w:p>
    <w:p>
      <w:pPr>
        <w:spacing w:after="80" w:before="0"/>
        <w:jc w:val="both"/>
      </w:pPr>
      <w:r>
        <w:rPr>
          <w:b w:val="0"/>
          <w:i w:val="0"/>
        </w:rPr>
        <w:t>• Tema 10 – Abordarea provocărilor identificate în cadrul semestrului european: proiectul răspunde recomandării privind reducerea părăsirii timpurii a școlii, inclusiv în rândul elevilor romi și al celor din mediul rural. În perioada de raportare au fost identificați 172 de elevi în risc sau din medii defavorizate, 97 au intrat în operațiune și au început consilierea psihologică (17 elevi), campania de informare și conștientizare (35 de elevi) și programele remediale (45 de elevi), iar 4 cadre didactice au parcurs programul de formare.</w:t>
      </w:r>
    </w:p>
    <w:p>
      <w:pPr>
        <w:spacing w:after="80" w:before="0"/>
        <w:jc w:val="both"/>
      </w:pPr>
      <w:r>
        <w:rPr>
          <w:b w:val="0"/>
          <w:i w:val="0"/>
        </w:rPr>
        <w:t>• Tema 05 – Nediscriminare (buget asumat 1.464.000,00 lei): au fost aplicate criteriile de prioritizare pentru elevii romi și pentru elevii cu dizabilități, iar recrutarea a vizat elevi din grupuri vulnerabile și din mediul rural; măsurile directe de sprijin (sprijin financiar pentru cazare, masă și transport și masă caldă) se acordă începând din perioada următoare, după validarea grupului țintă și contractarea serviciilor.</w:t>
      </w:r>
    </w:p>
    <w:p>
      <w:pPr>
        <w:spacing w:after="80" w:before="0"/>
        <w:jc w:val="both"/>
      </w:pPr>
      <w:r>
        <w:rPr>
          <w:b w:val="0"/>
          <w:i w:val="0"/>
        </w:rPr>
        <w:t>• Integrarea perspectivei de gen: activitățile de consiliere și de informare au abordat alegerea traseului educațional fără stereotipuri de gen (detalii la 15.1.1).</w:t>
      </w:r>
    </w:p>
    <w:sectPr>
      <w:headerReference r:id="rId6" w:type="default"/>
      <w:footerReference r:id="rId7" w:type="default"/>
      <w:pgSz w:h="16838" w:w="11906" w:orient="portrait"/>
      <w:pgMar w:bottom="1474" w:top="2608" w:left="850" w:right="850" w:header="454" w:footer="3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65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55"/>
      <w:tblGridChange w:id="0">
        <w:tblGrid>
          <w:gridCol w:w="16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9">
          <w:pPr>
            <w:spacing w:after="0" w:before="0" w:lineRule="auto"/>
            <w:jc w:val="left"/>
            <w:rPr/>
          </w:pPr>
          <w:r w:rsidDel="00000000" w:rsidR="00000000" w:rsidRPr="00000000">
            <w:rPr/>
            <w:drawing>
              <wp:inline distB="0" distT="0" distL="0" distR="0">
                <wp:extent cx="943200" cy="387000"/>
                <wp:effectExtent b="0" l="0" r="0" t="0"/>
                <wp:docPr descr="gal" id="4" name="image4.png"/>
                <a:graphic>
                  <a:graphicData uri="http://schemas.openxmlformats.org/drawingml/2006/picture">
                    <pic:pic>
                      <pic:nvPicPr>
                        <pic:cNvPr descr="gal" id="0" name="image4.png"/>
                        <pic:cNvPicPr preferRelativeResize="0"/>
                      </pic:nvPicPr>
                      <pic:blipFill>
                        <a:blip r:embed="rId1"/>
                        <a:srcRect b="0" l="0" r="0" t="0"/>
                        <a:stretch>
                          <a:fillRect/>
                        </a:stretch>
                      </pic:blipFill>
                      <pic:spPr>
                        <a:xfrm>
                          <a:off x="0" y="0"/>
                          <a:ext cx="943200" cy="387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404"/>
      <w:gridCol w:w="2985"/>
      <w:gridCol w:w="1816"/>
      <w:tblGridChange w:id="0">
        <w:tblGrid>
          <w:gridCol w:w="5404"/>
          <w:gridCol w:w="2985"/>
          <w:gridCol w:w="181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3">
          <w:pPr>
            <w:spacing w:after="0" w:before="0" w:lineRule="auto"/>
            <w:jc w:val="left"/>
            <w:rPr/>
          </w:pPr>
          <w:r w:rsidDel="00000000" w:rsidR="00000000" w:rsidRPr="00000000">
            <w:rPr/>
            <w:drawing>
              <wp:inline distB="0" distT="0" distL="0" distR="0">
                <wp:extent cx="2235600" cy="510480"/>
                <wp:effectExtent b="0" l="0" r="0" t="0"/>
                <wp:docPr descr="eu" id="1" name="image1.png"/>
                <a:graphic>
                  <a:graphicData uri="http://schemas.openxmlformats.org/drawingml/2006/picture">
                    <pic:pic>
                      <pic:nvPicPr>
                        <pic:cNvPr descr="eu" id="0" name="image1.png"/>
                        <pic:cNvPicPr preferRelativeResize="0"/>
                      </pic:nvPicPr>
                      <pic:blipFill>
                        <a:blip r:embed="rId1"/>
                        <a:srcRect b="0" l="0" r="0" t="0"/>
                        <a:stretch>
                          <a:fillRect/>
                        </a:stretch>
                      </pic:blipFill>
                      <pic:spPr>
                        <a:xfrm>
                          <a:off x="0" y="0"/>
                          <a:ext cx="2235600" cy="51048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4">
          <w:pPr>
            <w:spacing w:after="0" w:before="0" w:lineRule="auto"/>
            <w:jc w:val="left"/>
            <w:rPr/>
          </w:pPr>
          <w:r w:rsidDel="00000000" w:rsidR="00000000" w:rsidRPr="00000000">
            <w:rPr/>
            <w:drawing>
              <wp:inline distB="0" distT="0" distL="0" distR="0">
                <wp:extent cx="699480" cy="699480"/>
                <wp:effectExtent b="0" l="0" r="0" t="0"/>
                <wp:docPr descr="gov" id="3" name="image3.png"/>
                <a:graphic>
                  <a:graphicData uri="http://schemas.openxmlformats.org/drawingml/2006/picture">
                    <pic:pic>
                      <pic:nvPicPr>
                        <pic:cNvPr descr="gov" id="0" name="image3.png"/>
                        <pic:cNvPicPr preferRelativeResize="0"/>
                      </pic:nvPicPr>
                      <pic:blipFill>
                        <a:blip r:embed="rId2"/>
                        <a:srcRect b="0" l="0" r="0" t="0"/>
                        <a:stretch>
                          <a:fillRect/>
                        </a:stretch>
                      </pic:blipFill>
                      <pic:spPr>
                        <a:xfrm>
                          <a:off x="0" y="0"/>
                          <a:ext cx="699480" cy="69948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5">
          <w:pPr>
            <w:spacing w:after="0" w:before="0" w:lineRule="auto"/>
            <w:jc w:val="left"/>
            <w:rPr/>
          </w:pPr>
          <w:r w:rsidDel="00000000" w:rsidR="00000000" w:rsidRPr="00000000">
            <w:rPr/>
            <w:drawing>
              <wp:inline distB="0" distT="0" distL="0" distR="0">
                <wp:extent cx="1045440" cy="387000"/>
                <wp:effectExtent b="0" l="0" r="0" t="0"/>
                <wp:docPr descr="unic_peo" id="2" name="image2.png"/>
                <a:graphic>
                  <a:graphicData uri="http://schemas.openxmlformats.org/drawingml/2006/picture">
                    <pic:pic>
                      <pic:nvPicPr>
                        <pic:cNvPr descr="unic_peo" id="0" name="image2.png"/>
                        <pic:cNvPicPr preferRelativeResize="0"/>
                      </pic:nvPicPr>
                      <pic:blipFill>
                        <a:blip r:embed="rId3"/>
                        <a:srcRect b="0" l="0" r="0" t="0"/>
                        <a:stretch>
                          <a:fillRect/>
                        </a:stretch>
                      </pic:blipFill>
                      <pic:spPr>
                        <a:xfrm>
                          <a:off x="0" y="0"/>
                          <a:ext cx="1045440" cy="387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spacing w:after="0" w:before="227" w:line="250" w:lineRule="auto"/>
      <w:rPr/>
    </w:pPr>
    <w:r w:rsidDel="00000000" w:rsidR="00000000" w:rsidRPr="00000000">
      <w:rPr>
        <w:rFonts w:ascii="Arial" w:cs="Arial" w:eastAsia="Arial" w:hAnsi="Arial"/>
        <w:b w:val="1"/>
        <w:bCs w:val="1"/>
        <w:color w:val="1e1e1e"/>
        <w:sz w:val="17"/>
        <w:szCs w:val="17"/>
        <w:rtl w:val="0"/>
      </w:rPr>
      <w:t xml:space="preserve">Titlul proiectului: </w:t>
    </w:r>
    <w:r w:rsidDel="00000000" w:rsidR="00000000" w:rsidRPr="00000000">
      <w:rPr>
        <w:rFonts w:ascii="Arial" w:cs="Arial" w:eastAsia="Arial" w:hAnsi="Arial"/>
        <w:color w:val="1e1e1e"/>
        <w:sz w:val="17"/>
        <w:szCs w:val="17"/>
        <w:rtl w:val="0"/>
      </w:rPr>
      <w:t xml:space="preserve">UNIC - Uniți pentru Nevoile Incluzive și Continuitatea Educației Elevilor</w:t>
    </w:r>
    <w:r w:rsidDel="00000000" w:rsidR="00000000" w:rsidRPr="00000000">
      <w:rPr>
        <w:rtl w:val="0"/>
      </w:rPr>
    </w:r>
  </w:p>
  <w:p w:rsidR="00000000" w:rsidDel="00000000" w:rsidP="00000000" w:rsidRDefault="00000000" w:rsidRPr="00000000" w14:paraId="00000007">
    <w:pPr>
      <w:spacing w:after="0" w:before="0" w:line="250" w:lineRule="auto"/>
      <w:rPr/>
    </w:pPr>
    <w:r w:rsidDel="00000000" w:rsidR="00000000" w:rsidRPr="00000000">
      <w:rPr>
        <w:rFonts w:ascii="Arial" w:cs="Arial" w:eastAsia="Arial" w:hAnsi="Arial"/>
        <w:color w:val="1e1e1e"/>
        <w:sz w:val="17"/>
        <w:szCs w:val="17"/>
        <w:rtl w:val="0"/>
      </w:rPr>
      <w:t xml:space="preserve">Proiect cofinanțat din Fondul Social European Plus prin Programul Educație și Ocupare 2021-2027 | Cod MySMIS 352704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hAnsi="Times New Roman" w:eastAsia="Times New Roman"/>
      <w:sz w:val="22"/>
    </w:rPr>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