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venue,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16 of the 20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16 of the 20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20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3,678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a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 young people aged 14–17 take part — seven from Romania, seven from Türkiye and six from Greece — accompanied by four group leaders and two facilitators, 26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15 of the 20 will be taking part in a European mobility for the first time, and in our territory 31.3% of young people aged 14–17 have never taken part in any non-formal education activity at all. At least 12 of the 20 face documented barriers, whether geographic, economic, educational, linguistic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2,084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 participants will not move a county-level statistic, still less a national one. The contribution is measurable change in twenty young people, documented extension to at least eighty more, and three instruments and one toolkit that stay in use in three organisations after the money stops.</w:t>
      </w:r>
    </w:p>
    <w:p>
      <w:pPr>
        <w:spacing w:after="200"/>
      </w:pPr>
      <w:r>
        <w:rPr>
          <w:b w:val="0"/>
          <w:i/>
          <w:color w:val="5A5A5A"/>
          <w:sz w:val="16"/>
        </w:rPr>
        <w:t>≈ 2,156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26</w:t>
            </w:r>
          </w:p>
        </w:tc>
        <w:tc>
          <w:tcPr>
            <w:tcW w:type="dxa" w:w="2494"/>
          </w:tcPr>
          <w:p>
            <w:pPr>
              <w:spacing w:before="40" w:after="40"/>
            </w:pPr>
            <w:r/>
            <w:r>
              <w:rPr>
                <w:b w:val="0"/>
                <w:i w:val="0"/>
                <w:sz w:val="19"/>
              </w:rPr>
              <w:t>12</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26</w:t>
            </w:r>
          </w:p>
        </w:tc>
        <w:tc>
          <w:tcPr>
            <w:tcW w:type="dxa" w:w="2494"/>
          </w:tcPr>
          <w:p>
            <w:pPr>
              <w:spacing w:before="40" w:after="40"/>
            </w:pPr>
            <w:r/>
            <w:r>
              <w:rPr>
                <w:b/>
                <w:i w:val="0"/>
                <w:sz w:val="19"/>
              </w:rPr>
              <w:t>12</w:t>
            </w:r>
          </w:p>
        </w:tc>
      </w:tr>
    </w:tbl>
    <w:p>
      <w:pPr>
        <w:spacing w:after="0"/>
      </w:pPr>
    </w:p>
    <w:p>
      <w:pPr>
        <w:spacing w:after="160"/>
      </w:pPr>
      <w:r>
        <w:rPr>
          <w:b w:val="0"/>
          <w:i/>
          <w:color w:val="5A5A5A"/>
          <w:sz w:val="17"/>
        </w:rPr>
        <w:t>26 persons = 20 participants aged 14–17 + 4 group leaders + 2 facilitators, in three national groups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2,500.00</w:t>
            </w:r>
          </w:p>
        </w:tc>
        <w:tc>
          <w:tcPr>
            <w:tcW w:type="dxa" w:w="5669"/>
          </w:tcPr>
          <w:p>
            <w:pPr>
              <w:spacing w:before="40" w:after="40"/>
            </w:pPr>
            <w:r/>
            <w:r>
              <w:rPr>
                <w:b w:val="0"/>
                <w:i w:val="0"/>
                <w:sz w:val="19"/>
              </w:rPr>
              <w:t>125 × 20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7,593.00</w:t>
            </w:r>
          </w:p>
        </w:tc>
        <w:tc>
          <w:tcPr>
            <w:tcW w:type="dxa" w:w="5669"/>
          </w:tcPr>
          <w:p>
            <w:pPr>
              <w:spacing w:before="40" w:after="40"/>
            </w:pPr>
            <w:r/>
            <w:r>
              <w:rPr>
                <w:b w:val="0"/>
                <w:i w:val="0"/>
                <w:sz w:val="19"/>
              </w:rPr>
              <w:t>Romania 9 persons × 56 (band 10–99 km); Türkiye 9 and Greece 8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12,328.00</w:t>
            </w:r>
          </w:p>
        </w:tc>
        <w:tc>
          <w:tcPr>
            <w:tcW w:type="dxa" w:w="5669"/>
          </w:tcPr>
          <w:p>
            <w:pPr>
              <w:spacing w:before="40" w:after="40"/>
            </w:pPr>
            <w:r/>
            <w:r>
              <w:rPr>
                <w:b w:val="0"/>
                <w:i w:val="0"/>
                <w:sz w:val="19"/>
              </w:rPr>
              <w:t>Romania 9 persons × 9 days × 46; Türkiye 9 and Greece 8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1,500.00</w:t>
            </w:r>
          </w:p>
        </w:tc>
        <w:tc>
          <w:tcPr>
            <w:tcW w:type="dxa" w:w="5669"/>
          </w:tcPr>
          <w:p>
            <w:pPr>
              <w:spacing w:before="40" w:after="40"/>
            </w:pPr>
            <w:r/>
            <w:r>
              <w:rPr>
                <w:b w:val="0"/>
                <w:i w:val="0"/>
                <w:sz w:val="19"/>
              </w:rPr>
              <w:t>125 × 12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29,321.00</w:t>
            </w:r>
          </w:p>
        </w:tc>
        <w:tc>
          <w:tcPr>
            <w:tcW w:type="dxa" w:w="5669"/>
          </w:tcPr>
          <w:p>
            <w:pPr>
              <w:spacing w:before="40" w:after="40"/>
            </w:pPr>
            <w:r/>
            <w:r>
              <w:rPr>
                <w:b w:val="0"/>
                <w:i w:val="0"/>
                <w:sz w:val="19"/>
              </w:rPr>
              <w:t>Of which 25,921.00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25,921.00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25,921.00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professional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4,999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4,217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Six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six minors. The National Call allows one group leader for every four young people, so four group leaders for twenty participants remains below that ceiling, and the Call makes explicit provision for well-justified cases involving minors. Six adults accompany twenty minors — one adult per 3.3 participants.</w:t>
      </w:r>
    </w:p>
    <w:p>
      <w:pPr>
        <w:spacing w:after="200"/>
      </w:pPr>
      <w:r>
        <w:rPr>
          <w:b w:val="0"/>
          <w:i/>
          <w:color w:val="5A5A5A"/>
          <w:sz w:val="16"/>
        </w:rPr>
        <w:t>≈ 3,683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16 of the 20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16 of the 20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20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English is not a selection criterion and A2 is accepted, with a glossary built in four languages, which answers the linguistic one; and preparation runs over four months rather than four weeks, with a parents’ meeting in each country before consents are signed and a stated right to leave a session without giving a reason, which answers the social and educational ones. At least 12 of the 20 participants face documented barriers and at least 15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4,746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sixteen of the twenty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15 of the 20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2,665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2,377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 participants will not move a county-level statistic. The contribution is measurable change in twenty young people, documented extension to at least eighty more, and instruments that stay in use in three organisations after the project ends.</w:t>
      </w:r>
    </w:p>
    <w:p>
      <w:pPr>
        <w:spacing w:after="200"/>
      </w:pPr>
      <w:r>
        <w:rPr>
          <w:b w:val="0"/>
          <w:i/>
          <w:color w:val="5A5A5A"/>
          <w:sz w:val="16"/>
        </w:rPr>
        <w:t>≈ 2,200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20</w:t>
            </w:r>
          </w:p>
        </w:tc>
        <w:tc>
          <w:tcPr>
            <w:tcW w:type="dxa" w:w="1134"/>
          </w:tcPr>
          <w:p>
            <w:pPr>
              <w:spacing w:before="40" w:after="40"/>
            </w:pPr>
            <w:r/>
            <w:r>
              <w:rPr>
                <w:b w:val="0"/>
                <w:i w:val="0"/>
                <w:sz w:val="19"/>
              </w:rPr>
              <w:t>26</w:t>
            </w:r>
          </w:p>
        </w:tc>
        <w:tc>
          <w:tcPr>
            <w:tcW w:type="dxa" w:w="1361"/>
          </w:tcPr>
          <w:p>
            <w:pPr>
              <w:spacing w:before="40" w:after="40"/>
            </w:pPr>
            <w:r/>
            <w:r>
              <w:rPr>
                <w:b w:val="0"/>
                <w:i w:val="0"/>
                <w:sz w:val="19"/>
              </w:rPr>
              <w:t>25,921.00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20</w:t>
            </w:r>
          </w:p>
        </w:tc>
        <w:tc>
          <w:tcPr>
            <w:tcW w:type="dxa" w:w="1134"/>
          </w:tcPr>
          <w:p>
            <w:pPr>
              <w:spacing w:before="40" w:after="40"/>
            </w:pPr>
            <w:r/>
            <w:r>
              <w:rPr>
                <w:b/>
                <w:i w:val="0"/>
                <w:sz w:val="19"/>
              </w:rPr>
              <w:t>26</w:t>
            </w:r>
          </w:p>
        </w:tc>
        <w:tc>
          <w:tcPr>
            <w:tcW w:type="dxa" w:w="1361"/>
          </w:tcPr>
          <w:p>
            <w:pPr>
              <w:spacing w:before="40" w:after="40"/>
            </w:pPr>
            <w:r/>
            <w:r>
              <w:rPr>
                <w:b/>
                <w:i w:val="0"/>
                <w:sz w:val="19"/>
              </w:rPr>
              <w:t>25,921.00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12 of our 20 participants are participants with fewer opportunities, from whom the Programme does not permit fees in any case, a fee would also have to be charged to some participants and not others — inside a group of twenty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995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20</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12</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26</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25,921.00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6</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8</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20</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26</w:t>
            </w:r>
          </w:p>
        </w:tc>
        <w:tc>
          <w:tcPr>
            <w:tcW w:type="dxa" w:w="850"/>
          </w:tcPr>
          <w:p>
            <w:pPr>
              <w:spacing w:before="40" w:after="40"/>
            </w:pPr>
            <w:r/>
            <w:r>
              <w:rPr>
                <w:b/>
                <w:i w:val="0"/>
                <w:sz w:val="17"/>
              </w:rPr>
              <w:t>12</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the accommodation unit in the Napoca Porolissum LAG territory, Apuseni Mountains, Cluj County, Romania [TO CONFIRM].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(8 persons)</w:t>
            </w:r>
          </w:p>
        </w:tc>
        <w:tc>
          <w:tcPr>
            <w:tcW w:type="dxa" w:w="2041"/>
          </w:tcPr>
          <w:p>
            <w:pPr>
              <w:spacing w:before="40" w:after="40"/>
            </w:pPr>
            <w:r/>
            <w:r>
              <w:rPr>
                <w:b w:val="0"/>
                <w:i w:val="0"/>
                <w:sz w:val="19"/>
              </w:rPr>
              <w:t>8 × 417 = 3,336.00</w:t>
            </w:r>
          </w:p>
        </w:tc>
        <w:tc>
          <w:tcPr>
            <w:tcW w:type="dxa" w:w="2154"/>
          </w:tcPr>
          <w:p>
            <w:pPr>
              <w:spacing w:before="40" w:after="40"/>
            </w:pPr>
            <w:r/>
            <w:r>
              <w:rPr>
                <w:b w:val="0"/>
                <w:i w:val="0"/>
                <w:sz w:val="19"/>
              </w:rPr>
              <w:t>8 × 11 × 46 = 4,048.00</w:t>
            </w:r>
          </w:p>
        </w:tc>
        <w:tc>
          <w:tcPr>
            <w:tcW w:type="dxa" w:w="2041"/>
          </w:tcPr>
          <w:p>
            <w:pPr>
              <w:spacing w:before="40" w:after="40"/>
            </w:pPr>
            <w:r/>
            <w:r>
              <w:rPr>
                <w:b w:val="0"/>
                <w:i w:val="0"/>
                <w:sz w:val="19"/>
              </w:rPr>
              <w:t>7,384.00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7,593.00</w:t>
            </w:r>
          </w:p>
        </w:tc>
        <w:tc>
          <w:tcPr>
            <w:tcW w:type="dxa" w:w="2154"/>
          </w:tcPr>
          <w:p>
            <w:pPr>
              <w:spacing w:before="40" w:after="40"/>
            </w:pPr>
            <w:r/>
            <w:r>
              <w:rPr>
                <w:b/>
                <w:i w:val="0"/>
                <w:sz w:val="19"/>
              </w:rPr>
              <w:t>12,328.00</w:t>
            </w:r>
          </w:p>
        </w:tc>
        <w:tc>
          <w:tcPr>
            <w:tcW w:type="dxa" w:w="2041"/>
          </w:tcPr>
          <w:p>
            <w:pPr>
              <w:spacing w:before="40" w:after="40"/>
            </w:pPr>
            <w:r/>
            <w:r>
              <w:rPr>
                <w:b/>
                <w:i w:val="0"/>
                <w:sz w:val="19"/>
              </w:rPr>
              <w:t>19,921.00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20</w:t>
            </w:r>
          </w:p>
        </w:tc>
        <w:tc>
          <w:tcPr>
            <w:tcW w:type="dxa" w:w="2041"/>
          </w:tcPr>
          <w:p>
            <w:pPr>
              <w:spacing w:before="40" w:after="40"/>
            </w:pPr>
            <w:r/>
            <w:r>
              <w:rPr>
                <w:b w:val="0"/>
                <w:i w:val="0"/>
                <w:sz w:val="19"/>
              </w:rPr>
              <w:t>2,500.00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12</w:t>
            </w:r>
          </w:p>
        </w:tc>
        <w:tc>
          <w:tcPr>
            <w:tcW w:type="dxa" w:w="2041"/>
          </w:tcPr>
          <w:p>
            <w:pPr>
              <w:spacing w:before="40" w:after="40"/>
            </w:pPr>
            <w:r/>
            <w:r>
              <w:rPr>
                <w:b w:val="0"/>
                <w:i w:val="0"/>
                <w:sz w:val="19"/>
              </w:rPr>
              <w:t>1,500.00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25,921.00</w:t>
            </w:r>
          </w:p>
        </w:tc>
      </w:tr>
    </w:tbl>
    <w:p>
      <w:pPr>
        <w:spacing w:after="0"/>
      </w:pPr>
    </w:p>
    <w:p>
      <w:pPr>
        <w:spacing w:after="160"/>
      </w:pPr>
      <w:r>
        <w:rPr>
          <w:b w:val="0"/>
          <w:i/>
          <w:color w:val="5A5A5A"/>
          <w:sz w:val="17"/>
        </w:rPr>
        <w:t>The preparatory visit (3,400.00 EUR) sits at project level, not inside the activity, which is why the project total is 29,321.00 and the activity grant 25,921.00.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six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60 applications for the 20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15 of 20; a situation limiting access to opportunities, declared voluntarily and confidentially, weighted 25% with a target of 12 of 20;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near-equal groups, seven from Romania, seven from Türkiye and six from Greece, so that no national group holds a majority of the twenty. The balance is enforced where it matters, in the working teams: the cohort is divided into four mixed teams of five,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a group of seven, two in a group of six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 participants is below the National Call’s ceiling of one per four, and with the two facilitators it gives six adults for twenty minors. All four take the two-day leaders’ briefing in month 4.</w:t>
      </w:r>
    </w:p>
    <w:p>
      <w:pPr>
        <w:spacing w:after="200"/>
      </w:pPr>
      <w:r>
        <w:rPr>
          <w:b w:val="0"/>
          <w:i/>
          <w:color w:val="5A5A5A"/>
          <w:sz w:val="16"/>
        </w:rPr>
        <w:t>≈ 5,962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 as peer trainers in their later activities.</w:t>
      </w:r>
    </w:p>
    <w:p>
      <w:pPr>
        <w:spacing w:after="200"/>
      </w:pPr>
      <w:r>
        <w:rPr>
          <w:b w:val="0"/>
          <w:i/>
          <w:color w:val="5A5A5A"/>
          <w:sz w:val="16"/>
        </w:rPr>
        <w:t>≈ 4,128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will be developed?</w:t>
            </w:r>
          </w:p>
        </w:tc>
      </w:tr>
    </w:tbl>
    <w:p>
      <w:pPr>
        <w:spacing w:after="0"/>
      </w:pPr>
    </w:p>
    <w:p>
      <w:pPr>
        <w:jc w:val="both"/>
      </w:pPr>
      <w:r>
        <w:rPr>
          <w:b w:val="0"/>
          <w:i w:val="0"/>
        </w:rPr>
        <w:t>The learning outcomes are expressed against the eight European key competences for lifelong learning, the framework Youthpass uses, and each is tied to the sessions that build it and to the evidence that documents it. The rule is strict in both directions: no session exists in the programme without an entry here, and no competence is claimed without a session and a piece of evidence behind 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701"/>
            <w:shd w:val="clear" w:color="auto" w:fill="E8EEF7"/>
          </w:tcPr>
          <w:p>
            <w:pPr>
              <w:spacing w:before="40" w:after="40"/>
            </w:pPr>
            <w:r/>
            <w:r>
              <w:rPr>
                <w:b/>
                <w:i w:val="0"/>
                <w:color w:val="003D82"/>
                <w:sz w:val="17"/>
              </w:rPr>
              <w:t>Key competence</w:t>
            </w:r>
          </w:p>
        </w:tc>
        <w:tc>
          <w:tcPr>
            <w:tcW w:type="dxa" w:w="3742"/>
            <w:shd w:val="clear" w:color="auto" w:fill="E8EEF7"/>
          </w:tcPr>
          <w:p>
            <w:pPr>
              <w:spacing w:before="40" w:after="40"/>
            </w:pPr>
            <w:r/>
            <w:r>
              <w:rPr>
                <w:b/>
                <w:i w:val="0"/>
                <w:color w:val="003D82"/>
                <w:sz w:val="17"/>
              </w:rPr>
              <w:t>What the participant will be able to do</w:t>
            </w:r>
          </w:p>
        </w:tc>
        <w:tc>
          <w:tcPr>
            <w:tcW w:type="dxa" w:w="1701"/>
            <w:shd w:val="clear" w:color="auto" w:fill="E8EEF7"/>
          </w:tcPr>
          <w:p>
            <w:pPr>
              <w:spacing w:before="40" w:after="40"/>
            </w:pPr>
            <w:r/>
            <w:r>
              <w:rPr>
                <w:b/>
                <w:i w:val="0"/>
                <w:color w:val="003D82"/>
                <w:sz w:val="17"/>
              </w:rPr>
              <w:t>Sessions</w:t>
            </w:r>
          </w:p>
        </w:tc>
        <w:tc>
          <w:tcPr>
            <w:tcW w:type="dxa" w:w="2268"/>
            <w:shd w:val="clear" w:color="auto" w:fill="E8EEF7"/>
          </w:tcPr>
          <w:p>
            <w:pPr>
              <w:spacing w:before="40" w:after="40"/>
            </w:pPr>
            <w:r/>
            <w:r>
              <w:rPr>
                <w:b/>
                <w:i w:val="0"/>
                <w:color w:val="003D82"/>
                <w:sz w:val="17"/>
              </w:rPr>
              <w:t>Evidence</w:t>
            </w:r>
          </w:p>
        </w:tc>
      </w:tr>
      <w:tr>
        <w:tc>
          <w:tcPr>
            <w:tcW w:type="dxa" w:w="1701"/>
          </w:tcPr>
          <w:p>
            <w:pPr>
              <w:spacing w:before="40" w:after="40"/>
            </w:pPr>
            <w:r/>
            <w:r>
              <w:rPr>
                <w:b/>
                <w:i w:val="0"/>
                <w:sz w:val="17"/>
              </w:rPr>
              <w:t>KC4 Digital</w:t>
            </w:r>
            <w:r>
              <w:rPr>
                <w:b w:val="0"/>
                <w:i w:val="0"/>
                <w:sz w:val="17"/>
              </w:rPr>
              <w:t xml:space="preserve"> </w:t>
            </w:r>
            <w:r>
              <w:rPr>
                <w:b w:val="0"/>
                <w:i/>
                <w:sz w:val="17"/>
              </w:rPr>
              <w:t>primary</w:t>
            </w:r>
          </w:p>
        </w:tc>
        <w:tc>
          <w:tcPr>
            <w:tcW w:type="dxa" w:w="3742"/>
          </w:tcPr>
          <w:p>
            <w:pPr>
              <w:spacing w:before="40" w:after="40"/>
            </w:pPr>
            <w:r/>
            <w:r>
              <w:rPr>
                <w:b w:val="0"/>
                <w:i w:val="0"/>
                <w:sz w:val="17"/>
              </w:rPr>
              <w:t>Identify the source and the author of an online item; check its date and its original context; run a reverse image search; compare a claim against at least two independent sources; recognise the indicators of AI-generated text, image, audio and video; use AI tools in their own production ethically and with attribution.</w:t>
            </w:r>
          </w:p>
        </w:tc>
        <w:tc>
          <w:tcPr>
            <w:tcW w:type="dxa" w:w="1701"/>
          </w:tcPr>
          <w:p>
            <w:pPr>
              <w:spacing w:before="40" w:after="40"/>
            </w:pPr>
            <w:r/>
            <w:r>
              <w:rPr>
                <w:b w:val="0"/>
                <w:i w:val="0"/>
                <w:sz w:val="17"/>
              </w:rPr>
              <w:t>D1.3, D2.1, D2.2, D3.1, D3.2, D3.3, D4.1, D4.2, D6.1</w:t>
            </w:r>
          </w:p>
        </w:tc>
        <w:tc>
          <w:tcPr>
            <w:tcW w:type="dxa" w:w="2268"/>
          </w:tcPr>
          <w:p>
            <w:pPr>
              <w:spacing w:before="40" w:after="40"/>
            </w:pPr>
            <w:r/>
            <w:r>
              <w:rPr>
                <w:b w:val="0"/>
                <w:i w:val="0"/>
                <w:sz w:val="17"/>
              </w:rPr>
              <w:t>Baseline and final practical test; Day 4 observation grid on four named techniques; the AI-recognition sheet; the four media products.</w:t>
            </w:r>
          </w:p>
        </w:tc>
      </w:tr>
      <w:tr>
        <w:tc>
          <w:tcPr>
            <w:tcW w:type="dxa" w:w="1701"/>
          </w:tcPr>
          <w:p>
            <w:pPr>
              <w:spacing w:before="40" w:after="40"/>
            </w:pPr>
            <w:r/>
            <w:r>
              <w:rPr>
                <w:b/>
                <w:i w:val="0"/>
                <w:sz w:val="17"/>
              </w:rPr>
              <w:t>KC1 Literacy</w:t>
            </w:r>
            <w:r>
              <w:rPr>
                <w:b w:val="0"/>
                <w:i w:val="0"/>
                <w:sz w:val="17"/>
              </w:rPr>
              <w:t xml:space="preserve"> </w:t>
            </w:r>
            <w:r>
              <w:rPr>
                <w:b w:val="0"/>
                <w:i/>
                <w:sz w:val="17"/>
              </w:rPr>
              <w:t>primary</w:t>
            </w:r>
          </w:p>
        </w:tc>
        <w:tc>
          <w:tcPr>
            <w:tcW w:type="dxa" w:w="3742"/>
          </w:tcPr>
          <w:p>
            <w:pPr>
              <w:spacing w:before="40" w:after="40"/>
            </w:pPr>
            <w:r/>
            <w:r>
              <w:rPr>
                <w:b w:val="0"/>
                <w:i w:val="0"/>
                <w:sz w:val="17"/>
              </w:rPr>
              <w:t>Distinguish fact from opinion and from inference in a text; identify emotional framing, cropped context and false authority; construct a documented verdict in writing that another person can follow and check.</w:t>
            </w:r>
          </w:p>
        </w:tc>
        <w:tc>
          <w:tcPr>
            <w:tcW w:type="dxa" w:w="1701"/>
          </w:tcPr>
          <w:p>
            <w:pPr>
              <w:spacing w:before="40" w:after="40"/>
            </w:pPr>
            <w:r/>
            <w:r>
              <w:rPr>
                <w:b w:val="0"/>
                <w:i w:val="0"/>
                <w:sz w:val="17"/>
              </w:rPr>
              <w:t>D2.1, D2.2, D2.3, D4.1, D4.2, D4.3</w:t>
            </w:r>
          </w:p>
        </w:tc>
        <w:tc>
          <w:tcPr>
            <w:tcW w:type="dxa" w:w="2268"/>
          </w:tcPr>
          <w:p>
            <w:pPr>
              <w:spacing w:before="40" w:after="40"/>
            </w:pPr>
            <w:r/>
            <w:r>
              <w:rPr>
                <w:b w:val="0"/>
                <w:i w:val="0"/>
                <w:sz w:val="17"/>
              </w:rPr>
              <w:t>The manipulation-techniques grid produced by the participants; four written verdicts with their sources.</w:t>
            </w:r>
          </w:p>
        </w:tc>
      </w:tr>
      <w:tr>
        <w:tc>
          <w:tcPr>
            <w:tcW w:type="dxa" w:w="1701"/>
          </w:tcPr>
          <w:p>
            <w:pPr>
              <w:spacing w:before="40" w:after="40"/>
            </w:pPr>
            <w:r/>
            <w:r>
              <w:rPr>
                <w:b/>
                <w:i w:val="0"/>
                <w:sz w:val="17"/>
              </w:rPr>
              <w:t>KC6 Citizenship</w:t>
            </w:r>
            <w:r>
              <w:rPr>
                <w:b w:val="0"/>
                <w:i w:val="0"/>
                <w:sz w:val="17"/>
              </w:rPr>
              <w:t xml:space="preserve"> </w:t>
            </w:r>
            <w:r>
              <w:rPr>
                <w:b w:val="0"/>
                <w:i/>
                <w:sz w:val="17"/>
              </w:rPr>
              <w:t>primary</w:t>
            </w:r>
          </w:p>
        </w:tc>
        <w:tc>
          <w:tcPr>
            <w:tcW w:type="dxa" w:w="3742"/>
          </w:tcPr>
          <w:p>
            <w:pPr>
              <w:spacing w:before="40" w:after="40"/>
            </w:pPr>
            <w:r/>
            <w:r>
              <w:rPr>
                <w:b w:val="0"/>
                <w:i w:val="0"/>
                <w:sz w:val="17"/>
              </w:rPr>
              <w:t>Explain why verification is a precondition of democratic participation; argue a position with evidence and accept being refuted by evidence; take part in dialogue with community members and local institutions; design and run an activity that serves their own community.</w:t>
            </w:r>
          </w:p>
        </w:tc>
        <w:tc>
          <w:tcPr>
            <w:tcW w:type="dxa" w:w="1701"/>
          </w:tcPr>
          <w:p>
            <w:pPr>
              <w:spacing w:before="40" w:after="40"/>
            </w:pPr>
            <w:r/>
            <w:r>
              <w:rPr>
                <w:b w:val="0"/>
                <w:i w:val="0"/>
                <w:sz w:val="17"/>
              </w:rPr>
              <w:t>D1.2, D2.3, D5.1, D5.2, D6.3, D7.1</w:t>
            </w:r>
          </w:p>
        </w:tc>
        <w:tc>
          <w:tcPr>
            <w:tcW w:type="dxa" w:w="2268"/>
          </w:tcPr>
          <w:p>
            <w:pPr>
              <w:spacing w:before="40" w:after="40"/>
            </w:pPr>
            <w:r/>
            <w:r>
              <w:rPr>
                <w:b w:val="0"/>
                <w:i w:val="0"/>
                <w:sz w:val="17"/>
              </w:rPr>
              <w:t>The group agreement; the Day 5 record of local rumours; the four local initiative plans and the initiatives themselves.</w:t>
            </w:r>
          </w:p>
        </w:tc>
      </w:tr>
      <w:tr>
        <w:tc>
          <w:tcPr>
            <w:tcW w:type="dxa" w:w="1701"/>
          </w:tcPr>
          <w:p>
            <w:pPr>
              <w:spacing w:before="40" w:after="40"/>
            </w:pPr>
            <w:r/>
            <w:r>
              <w:rPr>
                <w:b/>
                <w:i w:val="0"/>
                <w:sz w:val="17"/>
              </w:rPr>
              <w:t>KC5 Personal, social, learning to learn</w:t>
            </w:r>
            <w:r>
              <w:rPr>
                <w:b w:val="0"/>
                <w:i w:val="0"/>
                <w:sz w:val="17"/>
              </w:rPr>
              <w:t xml:space="preserve"> </w:t>
            </w:r>
            <w:r>
              <w:rPr>
                <w:b w:val="0"/>
                <w:i/>
                <w:sz w:val="17"/>
              </w:rPr>
              <w:t>primary</w:t>
            </w:r>
          </w:p>
        </w:tc>
        <w:tc>
          <w:tcPr>
            <w:tcW w:type="dxa" w:w="3742"/>
          </w:tcPr>
          <w:p>
            <w:pPr>
              <w:spacing w:before="40" w:after="40"/>
            </w:pPr>
            <w:r/>
            <w:r>
              <w:rPr>
                <w:b w:val="0"/>
                <w:i w:val="0"/>
                <w:sz w:val="17"/>
              </w:rPr>
              <w:t>Assess their own media habits and name their own weak points; recognise that they were wrong about a claim and say so; work in a mixed international team; set a learning target and evaluate their progress against it.</w:t>
            </w:r>
          </w:p>
        </w:tc>
        <w:tc>
          <w:tcPr>
            <w:tcW w:type="dxa" w:w="1701"/>
          </w:tcPr>
          <w:p>
            <w:pPr>
              <w:spacing w:before="40" w:after="40"/>
            </w:pPr>
            <w:r/>
            <w:r>
              <w:rPr>
                <w:b w:val="0"/>
                <w:i w:val="0"/>
                <w:sz w:val="17"/>
              </w:rPr>
              <w:t>D1.3, D2.2, every daily reflection group, D7.2</w:t>
            </w:r>
          </w:p>
        </w:tc>
        <w:tc>
          <w:tcPr>
            <w:tcW w:type="dxa" w:w="2268"/>
          </w:tcPr>
          <w:p>
            <w:pPr>
              <w:spacing w:before="40" w:after="40"/>
            </w:pPr>
            <w:r/>
            <w:r>
              <w:rPr>
                <w:b w:val="0"/>
                <w:i w:val="0"/>
                <w:sz w:val="17"/>
              </w:rPr>
              <w:t>“My Digital Map” from Day 1 compared with the Day 7 reflection; the individual learning diary; Youthpass.</w:t>
            </w:r>
          </w:p>
        </w:tc>
      </w:tr>
      <w:tr>
        <w:tc>
          <w:tcPr>
            <w:tcW w:type="dxa" w:w="1701"/>
          </w:tcPr>
          <w:p>
            <w:pPr>
              <w:spacing w:before="40" w:after="40"/>
            </w:pPr>
            <w:r/>
            <w:r>
              <w:rPr>
                <w:b/>
                <w:i w:val="0"/>
                <w:sz w:val="17"/>
              </w:rPr>
              <w:t>KC2 Multilingual</w:t>
            </w:r>
          </w:p>
        </w:tc>
        <w:tc>
          <w:tcPr>
            <w:tcW w:type="dxa" w:w="3742"/>
          </w:tcPr>
          <w:p>
            <w:pPr>
              <w:spacing w:before="40" w:after="40"/>
            </w:pPr>
            <w:r/>
            <w:r>
              <w:rPr>
                <w:b w:val="0"/>
                <w:i w:val="0"/>
                <w:sz w:val="17"/>
              </w:rPr>
              <w:t>Work and produce a shared result in English at a functional level; support and be supported across languages; understand that information circulates differently inside a minority language.</w:t>
            </w:r>
          </w:p>
        </w:tc>
        <w:tc>
          <w:tcPr>
            <w:tcW w:type="dxa" w:w="1701"/>
          </w:tcPr>
          <w:p>
            <w:pPr>
              <w:spacing w:before="40" w:after="40"/>
            </w:pPr>
            <w:r/>
            <w:r>
              <w:rPr>
                <w:b w:val="0"/>
                <w:i w:val="0"/>
                <w:sz w:val="17"/>
              </w:rPr>
              <w:t>All mixed-team sessions; D2.3, D5.3</w:t>
            </w:r>
          </w:p>
        </w:tc>
        <w:tc>
          <w:tcPr>
            <w:tcW w:type="dxa" w:w="2268"/>
          </w:tcPr>
          <w:p>
            <w:pPr>
              <w:spacing w:before="40" w:after="40"/>
            </w:pPr>
            <w:r/>
            <w:r>
              <w:rPr>
                <w:b w:val="0"/>
                <w:i w:val="0"/>
                <w:sz w:val="17"/>
              </w:rPr>
              <w:t>The manipulation grid produced in four languages; the media products in English plus a local language.</w:t>
            </w:r>
          </w:p>
        </w:tc>
      </w:tr>
      <w:tr>
        <w:tc>
          <w:tcPr>
            <w:tcW w:type="dxa" w:w="1701"/>
          </w:tcPr>
          <w:p>
            <w:pPr>
              <w:spacing w:before="40" w:after="40"/>
            </w:pPr>
            <w:r/>
            <w:r>
              <w:rPr>
                <w:b/>
                <w:i w:val="0"/>
                <w:sz w:val="17"/>
              </w:rPr>
              <w:t>KC8 Cultural awareness and expression</w:t>
            </w:r>
          </w:p>
        </w:tc>
        <w:tc>
          <w:tcPr>
            <w:tcW w:type="dxa" w:w="3742"/>
          </w:tcPr>
          <w:p>
            <w:pPr>
              <w:spacing w:before="40" w:after="40"/>
            </w:pPr>
            <w:r/>
            <w:r>
              <w:rPr>
                <w:b w:val="0"/>
                <w:i w:val="0"/>
                <w:sz w:val="17"/>
              </w:rPr>
              <w:t>Recognise how stereotypes about their own and other communities are built and amplified; present a message visually and narratively; understand the host community from inside it.</w:t>
            </w:r>
          </w:p>
        </w:tc>
        <w:tc>
          <w:tcPr>
            <w:tcW w:type="dxa" w:w="1701"/>
          </w:tcPr>
          <w:p>
            <w:pPr>
              <w:spacing w:before="40" w:after="40"/>
            </w:pPr>
            <w:r/>
            <w:r>
              <w:rPr>
                <w:b w:val="0"/>
                <w:i w:val="0"/>
                <w:sz w:val="17"/>
              </w:rPr>
              <w:t>D2.2, D5.2, D5.3, D6.1, D6.2</w:t>
            </w:r>
          </w:p>
        </w:tc>
        <w:tc>
          <w:tcPr>
            <w:tcW w:type="dxa" w:w="2268"/>
          </w:tcPr>
          <w:p>
            <w:pPr>
              <w:spacing w:before="40" w:after="40"/>
            </w:pPr>
            <w:r/>
            <w:r>
              <w:rPr>
                <w:b w:val="0"/>
                <w:i w:val="0"/>
                <w:sz w:val="17"/>
              </w:rPr>
              <w:t>The stereotype analysis in mixed teams; the intercultural evening; the four media products.</w:t>
            </w:r>
          </w:p>
        </w:tc>
      </w:tr>
      <w:tr>
        <w:tc>
          <w:tcPr>
            <w:tcW w:type="dxa" w:w="1701"/>
          </w:tcPr>
          <w:p>
            <w:pPr>
              <w:spacing w:before="40" w:after="40"/>
            </w:pPr>
            <w:r/>
            <w:r>
              <w:rPr>
                <w:b/>
                <w:i w:val="0"/>
                <w:sz w:val="17"/>
              </w:rPr>
              <w:t>KC7 Entrepreneurship</w:t>
            </w:r>
          </w:p>
        </w:tc>
        <w:tc>
          <w:tcPr>
            <w:tcW w:type="dxa" w:w="3742"/>
          </w:tcPr>
          <w:p>
            <w:pPr>
              <w:spacing w:before="40" w:after="40"/>
            </w:pPr>
            <w:r/>
            <w:r>
              <w:rPr>
                <w:b w:val="0"/>
                <w:i w:val="0"/>
                <w:sz w:val="17"/>
              </w:rPr>
              <w:t>Turn an idea into a plan with a date, a venue, an audience, partners and named responsibilities; carry it out and report on it.</w:t>
            </w:r>
          </w:p>
        </w:tc>
        <w:tc>
          <w:tcPr>
            <w:tcW w:type="dxa" w:w="1701"/>
          </w:tcPr>
          <w:p>
            <w:pPr>
              <w:spacing w:before="40" w:after="40"/>
            </w:pPr>
            <w:r/>
            <w:r>
              <w:rPr>
                <w:b w:val="0"/>
                <w:i w:val="0"/>
                <w:sz w:val="17"/>
              </w:rPr>
              <w:t>D6.3 and the four local initiatives, months 6–15</w:t>
            </w:r>
          </w:p>
        </w:tc>
        <w:tc>
          <w:tcPr>
            <w:tcW w:type="dxa" w:w="2268"/>
          </w:tcPr>
          <w:p>
            <w:pPr>
              <w:spacing w:before="40" w:after="40"/>
            </w:pPr>
            <w:r/>
            <w:r>
              <w:rPr>
                <w:b w:val="0"/>
                <w:i w:val="0"/>
                <w:sz w:val="17"/>
              </w:rPr>
              <w:t>The four initiative plans with owners and deadlines; the reports on the initiatives held.</w:t>
            </w:r>
          </w:p>
        </w:tc>
      </w:tr>
      <w:tr>
        <w:tc>
          <w:tcPr>
            <w:tcW w:type="dxa" w:w="1701"/>
          </w:tcPr>
          <w:p>
            <w:pPr>
              <w:spacing w:before="40" w:after="40"/>
            </w:pPr>
            <w:r/>
            <w:r>
              <w:rPr>
                <w:b/>
                <w:i w:val="0"/>
                <w:sz w:val="17"/>
              </w:rPr>
              <w:t>KC3 Mathematical, science and technology</w:t>
            </w:r>
            <w:r>
              <w:rPr>
                <w:b w:val="0"/>
                <w:i w:val="0"/>
                <w:sz w:val="17"/>
              </w:rPr>
              <w:t xml:space="preserve"> </w:t>
            </w:r>
            <w:r>
              <w:rPr>
                <w:b w:val="0"/>
                <w:i/>
                <w:sz w:val="17"/>
              </w:rPr>
              <w:t>secondary</w:t>
            </w:r>
          </w:p>
        </w:tc>
        <w:tc>
          <w:tcPr>
            <w:tcW w:type="dxa" w:w="3742"/>
          </w:tcPr>
          <w:p>
            <w:pPr>
              <w:spacing w:before="40" w:after="40"/>
            </w:pPr>
            <w:r/>
            <w:r>
              <w:rPr>
                <w:b w:val="0"/>
                <w:i w:val="0"/>
                <w:sz w:val="17"/>
              </w:rPr>
              <w:t>Read a statistic critically: check the population measured, the year, the sample and what the figure does not say; recognise a graph designed to mislead.</w:t>
            </w:r>
          </w:p>
        </w:tc>
        <w:tc>
          <w:tcPr>
            <w:tcW w:type="dxa" w:w="1701"/>
          </w:tcPr>
          <w:p>
            <w:pPr>
              <w:spacing w:before="40" w:after="40"/>
            </w:pPr>
            <w:r/>
            <w:r>
              <w:rPr>
                <w:b w:val="0"/>
                <w:i w:val="0"/>
                <w:sz w:val="17"/>
              </w:rPr>
              <w:t>D2.1, D4.1</w:t>
            </w:r>
          </w:p>
        </w:tc>
        <w:tc>
          <w:tcPr>
            <w:tcW w:type="dxa" w:w="2268"/>
          </w:tcPr>
          <w:p>
            <w:pPr>
              <w:spacing w:before="40" w:after="40"/>
            </w:pPr>
            <w:r/>
            <w:r>
              <w:rPr>
                <w:b w:val="0"/>
                <w:i w:val="0"/>
                <w:sz w:val="17"/>
              </w:rPr>
              <w:t>The statistics exercise inside D2.1; the verdicts, where numerical claims appear.</w:t>
            </w:r>
          </w:p>
        </w:tc>
      </w:tr>
    </w:tbl>
    <w:p>
      <w:pPr>
        <w:spacing w:after="0"/>
      </w:pPr>
    </w:p>
    <w:p>
      <w:pPr>
        <w:jc w:val="both"/>
      </w:pPr>
      <w:r>
        <w:rPr>
          <w:b w:val="0"/>
          <w:i w:val="0"/>
        </w:rPr>
        <w:t>We are careful about what we claim: seven days do not produce expert fact-checkers. What they produce is a reflex — the pause before sharing — and four techniques the participant can actually perform, which is what objective O2 measures and what the observation grid records.</w:t>
      </w:r>
    </w:p>
    <w:p>
      <w:pPr>
        <w:spacing w:after="200"/>
      </w:pPr>
      <w:r>
        <w:rPr>
          <w:b w:val="0"/>
          <w:i/>
          <w:color w:val="5A5A5A"/>
          <w:sz w:val="16"/>
        </w:rPr>
        <w:t>≈ 3,781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non-formal learning methods and the daily programme.</w:t>
            </w:r>
          </w:p>
        </w:tc>
      </w:tr>
    </w:tbl>
    <w:p>
      <w:pPr>
        <w:spacing w:after="0"/>
      </w:pPr>
    </w:p>
    <w:p>
      <w:pPr>
        <w:jc w:val="both"/>
      </w:pPr>
      <w:r>
        <w:rPr>
          <w:b w:val="0"/>
          <w:i w:val="0"/>
        </w:rPr>
        <w:t>The activity is hosted in an accommodation unit inside the Napoca Porolissum territory, in the Apuseni Mountains, Cluj County, rather than in a neutral host city: 58.5% of the young people we surveyed asked for activities in or near their own locality, and the host community is part of the programme on Day 5. It needs 30 places, a plenary room, four small-team spaces, stable internet and accessibility. [TO CONFIRM: the unit, with a written offer.]</w:t>
      </w:r>
    </w:p>
    <w:p>
      <w:pPr>
        <w:jc w:val="both"/>
      </w:pPr>
      <w:r>
        <w:rPr>
          <w:b w:val="0"/>
          <w:i w:val="0"/>
        </w:rPr>
        <w:t>Among the non-formal learning methods, learning through controlled error is the central one: participants receive the false material, commit to a judgement, and only then learn the verdict — the surprise is the instrument that works on overconfidence, used on Day 2 before any teaching. Around it: mixed teams recomposed daily; simulation and role play (the verification newsroom D4.1, the information tribunal D2.3, the escape room D3.3); structured debate under the rule that every claim must be evidenced, facilitators included; peer teaching (D3.2); media production as applied learning on Day 6; daily reflection in the national group in the participant’s own language, then in plenary, with a learning diary, and what comes out of it visibly changes the next day (D1.5, D2.4, D3.5, D4.4, D6.4); and outdoor activities in the territory. There are no lectures: every session produces an output or a decision taken by the participants themselves.</w:t>
      </w:r>
    </w:p>
    <w:p>
      <w:pPr>
        <w:jc w:val="both"/>
      </w:pPr>
      <w:r>
        <w:rPr>
          <w:b w:val="0"/>
          <w:i w:val="0"/>
        </w:rPr>
        <w:t>The daily programme runs as follows,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The group forms itself and looks at its own habits before anyone teaches: mixed-team formation (D1.1), the group agreement the participants negotiate themselves, with non-discrimination and respect for all languages present as non-negotiable clauses (D1.2), “My Digital Map”, in which each maps one ordinary day of their own media diet (D1.3), and the safety, safeguarding and Youthpass briefing (D1.4). Outputs: four mixed teams of five, each with members of all three national groups; a signed group agreement; 20 digital maps kept for Day 7. Claudiu Iancu and Marilena Georgescu with Facilitator 1.</w:t>
      </w:r>
    </w:p>
    <w:p>
      <w:pPr>
        <w:jc w:val="both"/>
      </w:pPr>
      <w:r>
        <w:rPr>
          <w:b/>
          <w:i w:val="0"/>
        </w:rPr>
        <w:t>Day 2 — Spot the Fake.</w:t>
      </w:r>
      <w:r>
        <w:rPr>
          <w:b w:val="0"/>
          <w:i w:val="0"/>
        </w:rPr>
        <w:t xml:space="preserve"> O1, O2. The controlled-error day: teams commit to a verdict on a mixed set of real and false items, including two misleading statistics and a manipulated graph, before the answer key is revealed (D2.1); then the mechanics of manipulation — emotional headlines, cropped context, false authority, numbers out of context — worked on the real cases their own communities brought, including content carrying ethnic, gender and migration stereotypes (D2.2); and a debate on where opinion ends and falsehood begins (D2.3). Output: the manipulation grid in four languages. Claudiu Iancu with Facilitators 1 and 2; KEA leads the strand on information in small island communities.</w:t>
      </w:r>
    </w:p>
    <w:p>
      <w:pPr>
        <w:jc w:val="both"/>
      </w:pPr>
      <w:r>
        <w:rPr>
          <w:b/>
          <w:i w:val="0"/>
        </w:rPr>
        <w:t>Day 3 — AI or human?</w:t>
      </w:r>
      <w:r>
        <w:rPr>
          <w:b w:val="0"/>
          <w:i w:val="0"/>
        </w:rPr>
        <w:t xml:space="preserve"> O1, O2. Participants generate AI content themselves and try to fool each other, then write their own recognition sheet (D3.1); four teams each test a free verification tool and teach it to the others (D3.2); the verification route is drilled as an escape room until automatic (D3.3); the group writes the AI-use rule it will apply on Day 6 (D3.4). Outputs: the AI-recognition sheet, an annotated tool list with one national verification resource per partner country, the group’s AI-use rule. Tahsin Altay and the GGD facilitator, with Claudiu Iancu and Livia Golovatic.</w:t>
      </w:r>
    </w:p>
    <w:p>
      <w:pPr>
        <w:jc w:val="both"/>
      </w:pPr>
      <w:r>
        <w:rPr>
          <w:b/>
          <w:i w:val="0"/>
        </w:rPr>
        <w:t>Day 4 — fact-checkers for a day. The assessed day.</w:t>
      </w:r>
      <w:r>
        <w:rPr>
          <w:b w:val="0"/>
          <w:i w:val="0"/>
        </w:rPr>
        <w:t xml:space="preserve"> O2. A three-hour verification newsroom in which mixed teams take real viral claims through the full route to a documented verdict, facilitators intervening only when asked (D4.1). This is where the observation grid for O2 is applied: each of the four group leaders observes one mixed team, Facilitators 1 and 2 independently double-score five participants each — half the cohort scored twice — and the Learning Programme Coordinator moderates without scoring. Then cross-examination of each verdict (D4.2) and a collective analysis of the day’s errors, the facilitators’ included (D4.3). Outputs: four documented verdicts with sources, and per-participant data on all four techniques.</w:t>
      </w:r>
    </w:p>
    <w:p>
      <w:pPr>
        <w:jc w:val="both"/>
      </w:pPr>
      <w:r>
        <w:rPr>
          <w:b/>
          <w:i w:val="0"/>
        </w:rPr>
        <w:t>Day 5 — community and intercultural day.</w:t>
      </w:r>
      <w:r>
        <w:rPr>
          <w:b w:val="0"/>
          <w:i w:val="0"/>
        </w:rPr>
        <w:t xml:space="preserve"> O3. A visit to a village of the territory (D5.1) and a facilitated dialogue with residents and municipal representatives on the rumours circulating there and who gets hurt (D5.2) — that record becomes the working material for Day 6. The intercultural evening closes the day (D5.3). Method led by KEA’s social worker and counsellor, local relationship by Livia Golovatic.</w:t>
      </w:r>
    </w:p>
    <w:p>
      <w:pPr>
        <w:jc w:val="both"/>
      </w:pPr>
      <w:r>
        <w:rPr>
          <w:b/>
          <w:i w:val="0"/>
        </w:rPr>
        <w:t>Day 6 — Make It, Don’t Fake It.</w:t>
      </w:r>
      <w:r>
        <w:rPr>
          <w:b w:val="0"/>
          <w:i w:val="0"/>
        </w:rPr>
        <w:t xml:space="preserve"> O3. Led by GGD: how a short video or infographic is built to be clear and honest (D6.1), then production, each team debunking a Day 5 myth under the AI-use rule the group wrote on Day 3 (D6.2). In parallel the national groups plan their local initiatives on a common template supplied by KEA — date, venue, audience, partner, responsibilities, indicator (D6.3). Outputs: four media products in English plus a local language, four initiative plans with owners and deadlines.</w:t>
      </w:r>
    </w:p>
    <w:p>
      <w:pPr>
        <w:jc w:val="both"/>
      </w:pPr>
      <w:r>
        <w:rPr>
          <w:b/>
          <w:i w:val="0"/>
        </w:rPr>
        <w:t>Day 7 — presentation, evaluation, Youthpass.</w:t>
      </w:r>
      <w:r>
        <w:rPr>
          <w:b w:val="0"/>
          <w:i w:val="0"/>
        </w:rPr>
        <w:t xml:space="preserve"> O1, O2, O3. A public presentation by the participants to guests from the community, the municipalities and the press (D7.1); the Youthpass session, where each participant re-reads their Day 1 digital map against their learning diary and names, with evidence, what changed (D7.2); a participatory evaluation (D7.3); and the written, public commitments to the four local initiatives (D7.4). Outputs: 20 Youthpass certificates plus 4 for the group leaders, and four signed commitments.</w:t>
      </w:r>
    </w:p>
    <w:p>
      <w:pPr>
        <w:jc w:val="both"/>
      </w:pPr>
      <w:r>
        <w:rPr>
          <w:b w:val="0"/>
          <w:i w:val="0"/>
        </w:rPr>
        <w:t>The full programme is annexed as the project timetable, where every session carries five attributes: the objective it serves, the non-formal method, the key competences it builds, the output it produces and the person responsible. The session codes above match the competence matrix and the timetable exactly.</w:t>
      </w:r>
    </w:p>
    <w:p>
      <w:pPr>
        <w:spacing w:after="200"/>
      </w:pPr>
      <w:r>
        <w:rPr>
          <w:b w:val="0"/>
          <w:i/>
          <w:color w:val="5A5A5A"/>
          <w:sz w:val="16"/>
        </w:rPr>
        <w:t>≈ 5,995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20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 back into the project as evaluators rather than beneficiaries.</w:t>
      </w:r>
    </w:p>
    <w:p>
      <w:pPr>
        <w:spacing w:after="200"/>
      </w:pPr>
      <w:r>
        <w:rPr>
          <w:b w:val="0"/>
          <w:i/>
          <w:color w:val="5A5A5A"/>
          <w:sz w:val="16"/>
        </w:rPr>
        <w:t>≈ 4,230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26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2,702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20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12 of the 20 participants — 60%.</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 How will you reach out to them, and what specific measures will you implement to support their participation?</w:t>
            </w:r>
          </w:p>
        </w:tc>
      </w:tr>
    </w:tbl>
    <w:p>
      <w:pPr>
        <w:spacing w:after="0"/>
      </w:pPr>
    </w:p>
    <w:p>
      <w:pPr>
        <w:jc w:val="both"/>
      </w:pPr>
      <w:r>
        <w:rPr>
          <w:b w:val="0"/>
          <w:i w:val="0"/>
        </w:rPr>
        <w:t>The principal barrier is geographical and it affects essentially the whole group: isolated rural mountain communes, small islands of the South Aegean, and a metropolitan periphery with the rural localities behind it. Living in a remote or rural region, on a small island or in a peripheral, less-served area is recognised as an obstacle to participation, and all three groups qualify on that ground alone. Economic barriers follow closely, with 34.4% of the young people aged 14–17 in our survey naming cost and 31.2% naming transport; in these households the first 80 kilometres are a real obstacle rather than a detail. Educational barriers affect the 31.3% who have never taken part in any non-formal education activity, some of them from households with no experience of European programmes at all, for whom the difficulty is not only getting there but knowing that such a thing exists and is meant for them. Linguistically, part of our own territory communicates in Hungarian, in the İstanbul periphery information travels through neighbourhood and community networks, and in the South Aegean through island and regional channels, so a young person whose community life happens outside the national media has less access to reliable information and almost no access to correction of what circulates around them. Socially, 12.5% name lack of self-confidence and 10.4% say their family would not agree, and among the respondents there are young people reached through the social worker, young people with childcare responsibilities and young people from Roma communities; two wrote about exclusion directly: “There shouldn’t be differences of class or gender — if you’re in the 12th grade you should be able to go on Erasmus too” and “The right to study; Roma don’t put an emphasis on school.” Health or disability is not known before selection, and the specific-needs sheet allows it to be declared confidentially, with the support that follows costed individually rather than assumed.</w:t>
      </w:r>
    </w:p>
    <w:p>
      <w:pPr>
        <w:jc w:val="both"/>
      </w:pPr>
      <w:r>
        <w:rPr>
          <w:b w:val="0"/>
          <w:i w:val="0"/>
        </w:rPr>
        <w:t>The first barrier these young people name is not money but information, since 37.5% say the reason opportunities pass them by is that they never hear about them. Outreach is therefore a project activity with its own indicator — a target of at least 60 applications for 20 places — rather than an administrative formality. We work through the youth networks the three organisations already run, including the Rural Youth Parliament and the participants of previous activities, because those are the people who can say what an exchange is actually like; peer-to-peer, since friends are the channel for 38.5% of them; through social media, the channel for 49.0%, in a format adapted to the age group and produced with young people already active in the organisations rather than written by staff and posted at them; through libraries, community centres and local youth spaces, where the call is presented in person rather than pinned up; and through the Social Inclusion Centre and the UNIC — Porolissum project, which work directly with vulnerable households and reach young people who would never see an online call. The call is also carried into the schools of the territory, because that is where half of these young people say they hear about opportunities, but as an information channel only. We do not use municipal noticeboards, which reach 6.2% of this age group: the 14 partner municipalities are used for validating the need and hosting activities, not for recruitment, and saying that plainly is what our own data requires.</w:t>
      </w:r>
    </w:p>
    <w:p>
      <w:pPr>
        <w:jc w:val="both"/>
      </w:pPr>
      <w:r>
        <w:rPr>
          <w:b w:val="0"/>
          <w:i w:val="0"/>
        </w:rPr>
        <w:t>Each barrier is then answered by a specific measure. Against the informational barrier stands the outreach plan above, the call translated into four languages and a plain-language version written for parents rather than for funders. Against the economic one, no contribution of any kind is asked of participants: travel, accommodation, meals, insurance and materials are covered in full, and the rule is stated in writing from the day the call is published, because that is what allows a family to let a child apply at all. Transport is organised and paid from the participant’s home to the point of departure through the inclusion support category, on a dedicated budget line, so that a young person from Măguri-Răcătău, or one who must take a ferry before reaching an airport or a station, does not have to solve the first leg alone. Against educational and linguistic barriers, English is not a selection criterion and A2 is accepted, the glossary is built in four languages, methods are visual and practical, work is done in pairs, group leaders interpret on request and cross-language support is built deliberately into the mixed teams. Against social ones, the preparatory visit includes one young person from each sending organisation so that a participant arrives in August already knowing someone who has been there, the cohort communication group is active two months before departure, the group leader accompanies throughout the journey and the right to leave a session is stated. Health or disability is handled through the confidential specific-needs sheet, an accessible venue and additional inclusion support at real cost where needed, on its own line with its own justification. And family reluctance, named by 10.4%, is answered by the parents’ online meeting held in each country in the local language, with the safeguarding focal point present and the full programme, supervision arrangements and contact chain explained — after which, not before, parental consent is obtained.</w:t>
      </w:r>
    </w:p>
    <w:p>
      <w:pPr>
        <w:spacing w:after="200"/>
      </w:pPr>
      <w:r>
        <w:rPr>
          <w:b w:val="0"/>
          <w:i/>
          <w:color w:val="5A5A5A"/>
          <w:sz w:val="16"/>
        </w:rPr>
        <w:t>≈ 5,520 characters (assumed form limit 6,000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26 persons take part: 20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the territory in month 3, with two people from each of the two sending organisations — one of them a young person — plus one staff member from the coordinating organisation, five people in total. That staff member contributes to the on-site verification of the logistical and safety arrangements and finalises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26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5,444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and the three main instruments exist in writing before submission.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361"/>
            <w:shd w:val="clear" w:color="auto" w:fill="E8EEF7"/>
          </w:tcPr>
          <w:p>
            <w:pPr>
              <w:spacing w:before="40" w:after="40"/>
            </w:pPr>
            <w:r/>
            <w:r>
              <w:rPr>
                <w:b/>
                <w:i w:val="0"/>
                <w:color w:val="003D82"/>
                <w:sz w:val="17"/>
              </w:rPr>
              <w:t>Baseline</w:t>
            </w:r>
          </w:p>
        </w:tc>
        <w:tc>
          <w:tcPr>
            <w:tcW w:type="dxa" w:w="1814"/>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928"/>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+30% or more, for at least 16 of 20</w:t>
            </w:r>
          </w:p>
        </w:tc>
        <w:tc>
          <w:tcPr>
            <w:tcW w:type="dxa" w:w="2268"/>
          </w:tcPr>
          <w:p>
            <w:pPr>
              <w:spacing w:before="40" w:after="40"/>
            </w:pPr>
            <w:r/>
            <w:r>
              <w:rPr>
                <w:b w:val="0"/>
                <w:i w:val="0"/>
                <w:sz w:val="17"/>
              </w:rPr>
              <w:t>15-item, 30-point practical test, Form A and Form B, online, closed-device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applying 4 verification techniques (O2)</w:t>
            </w:r>
          </w:p>
        </w:tc>
        <w:tc>
          <w:tcPr>
            <w:tcW w:type="dxa" w:w="1361"/>
          </w:tcPr>
          <w:p>
            <w:pPr>
              <w:spacing w:before="40" w:after="40"/>
            </w:pPr>
            <w:r/>
            <w:r>
              <w:rPr>
                <w:b w:val="0"/>
                <w:i w:val="0"/>
                <w:sz w:val="17"/>
              </w:rPr>
              <w:t>0 at selection</w:t>
            </w:r>
          </w:p>
        </w:tc>
        <w:tc>
          <w:tcPr>
            <w:tcW w:type="dxa" w:w="1814"/>
          </w:tcPr>
          <w:p>
            <w:pPr>
              <w:spacing w:before="40" w:after="40"/>
            </w:pPr>
            <w:r/>
            <w:r>
              <w:rPr>
                <w:b w:val="0"/>
                <w:i w:val="0"/>
                <w:sz w:val="17"/>
              </w:rPr>
              <w:t>At least 16 of 20</w:t>
            </w:r>
          </w:p>
        </w:tc>
        <w:tc>
          <w:tcPr>
            <w:tcW w:type="dxa" w:w="2268"/>
          </w:tcPr>
          <w:p>
            <w:pPr>
              <w:spacing w:before="40" w:after="40"/>
            </w:pPr>
            <w:r/>
            <w:r>
              <w:rPr>
                <w:b w:val="0"/>
                <w:i w:val="0"/>
                <w:sz w:val="17"/>
              </w:rPr>
              <w:t>Observation grid, 4 techniques scored 0–2, six calibrated observers, 25% double-scored</w:t>
            </w:r>
          </w:p>
        </w:tc>
        <w:tc>
          <w:tcPr>
            <w:tcW w:type="dxa" w:w="1928"/>
          </w:tcPr>
          <w:p>
            <w:pPr>
              <w:spacing w:before="40" w:after="40"/>
            </w:pPr>
            <w:r/>
            <w:r>
              <w:rPr>
                <w:b w:val="0"/>
                <w:i w:val="0"/>
                <w:sz w:val="17"/>
              </w:rPr>
              <w:t>Day 4, and in short form at the local initiatives; facilitators and group leaders</w:t>
            </w:r>
          </w:p>
        </w:tc>
      </w:tr>
      <w:tr>
        <w:tc>
          <w:tcPr>
            <w:tcW w:type="dxa" w:w="2041"/>
          </w:tcPr>
          <w:p>
            <w:pPr>
              <w:spacing w:before="40" w:after="40"/>
            </w:pPr>
            <w:r/>
            <w:r>
              <w:rPr>
                <w:b w:val="0"/>
                <w:i w:val="0"/>
                <w:sz w:val="17"/>
              </w:rPr>
              <w:t>Young people reached through local initiatives (O3)</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928"/>
          </w:tcPr>
          <w:p>
            <w:pPr>
              <w:spacing w:before="40" w:after="40"/>
            </w:pPr>
            <w:r/>
            <w:r>
              <w:rPr>
                <w:b w:val="0"/>
                <w:i w:val="0"/>
                <w:sz w:val="17"/>
              </w:rPr>
              <w:t>After each initiative, months 6–15; group leaders</w:t>
            </w:r>
          </w:p>
        </w:tc>
      </w:tr>
      <w:tr>
        <w:tc>
          <w:tcPr>
            <w:tcW w:type="dxa" w:w="2041"/>
          </w:tcPr>
          <w:p>
            <w:pPr>
              <w:spacing w:before="40" w:after="40"/>
            </w:pPr>
            <w:r/>
            <w:r>
              <w:rPr>
                <w:b w:val="0"/>
                <w:i w:val="0"/>
                <w:sz w:val="17"/>
              </w:rPr>
              <w:t>Beneficiaries able to apply 2 simple methods (O3)</w:t>
            </w:r>
          </w:p>
        </w:tc>
        <w:tc>
          <w:tcPr>
            <w:tcW w:type="dxa" w:w="1361"/>
          </w:tcPr>
          <w:p>
            <w:pPr>
              <w:spacing w:before="40" w:after="40"/>
            </w:pPr>
            <w:r/>
            <w:r>
              <w:rPr>
                <w:b w:val="0"/>
                <w:i w:val="0"/>
                <w:sz w:val="17"/>
              </w:rPr>
              <w:t>3 entry questions per workshop</w:t>
            </w:r>
          </w:p>
        </w:tc>
        <w:tc>
          <w:tcPr>
            <w:tcW w:type="dxa" w:w="1814"/>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928"/>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Moves proportionally more than the total</w:t>
            </w:r>
          </w:p>
        </w:tc>
        <w:tc>
          <w:tcPr>
            <w:tcW w:type="dxa" w:w="2268"/>
          </w:tcPr>
          <w:p>
            <w:pPr>
              <w:spacing w:before="40" w:after="40"/>
            </w:pPr>
            <w:r/>
            <w:r>
              <w:rPr>
                <w:b w:val="0"/>
                <w:i w:val="0"/>
                <w:sz w:val="17"/>
              </w:rPr>
              <w:t>Same test, reported as a separate 4-point sub-score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w:t>
            </w:r>
          </w:p>
        </w:tc>
        <w:tc>
          <w:tcPr>
            <w:tcW w:type="dxa" w:w="2268"/>
          </w:tcPr>
          <w:p>
            <w:pPr>
              <w:spacing w:before="40" w:after="40"/>
            </w:pPr>
            <w:r/>
            <w:r>
              <w:rPr>
                <w:b w:val="0"/>
                <w:i w:val="0"/>
                <w:sz w:val="17"/>
              </w:rPr>
              <w:t>Selection form</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12 of 20</w:t>
            </w:r>
          </w:p>
        </w:tc>
        <w:tc>
          <w:tcPr>
            <w:tcW w:type="dxa" w:w="2268"/>
          </w:tcPr>
          <w:p>
            <w:pPr>
              <w:spacing w:before="40" w:after="40"/>
            </w:pPr>
            <w:r/>
            <w:r>
              <w:rPr>
                <w:b w:val="0"/>
                <w:i w:val="0"/>
                <w:sz w:val="17"/>
              </w:rPr>
              <w:t>Selection form and specific-needs sheet</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928"/>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60 for 20 places</w:t>
            </w:r>
          </w:p>
        </w:tc>
        <w:tc>
          <w:tcPr>
            <w:tcW w:type="dxa" w:w="2268"/>
          </w:tcPr>
          <w:p>
            <w:pPr>
              <w:spacing w:before="40" w:after="40"/>
            </w:pPr>
            <w:r/>
            <w:r>
              <w:rPr>
                <w:b w:val="0"/>
                <w:i w:val="0"/>
                <w:sz w:val="17"/>
              </w:rPr>
              <w:t>Application register</w:t>
            </w:r>
          </w:p>
        </w:tc>
        <w:tc>
          <w:tcPr>
            <w:tcW w:type="dxa" w:w="1928"/>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928"/>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 still applying something</w:t>
            </w:r>
          </w:p>
        </w:tc>
        <w:tc>
          <w:tcPr>
            <w:tcW w:type="dxa" w:w="2268"/>
          </w:tcPr>
          <w:p>
            <w:pPr>
              <w:spacing w:before="40" w:after="40"/>
            </w:pPr>
            <w:r/>
            <w:r>
              <w:rPr>
                <w:b w:val="0"/>
                <w:i w:val="0"/>
                <w:sz w:val="17"/>
              </w:rPr>
              <w:t>Follow-up questionnaire</w:t>
            </w:r>
          </w:p>
        </w:tc>
        <w:tc>
          <w:tcPr>
            <w:tcW w:type="dxa" w:w="1928"/>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4 organisations outside the partnership</w:t>
            </w:r>
          </w:p>
        </w:tc>
        <w:tc>
          <w:tcPr>
            <w:tcW w:type="dxa" w:w="2268"/>
          </w:tcPr>
          <w:p>
            <w:pPr>
              <w:spacing w:before="40" w:after="40"/>
            </w:pPr>
            <w:r/>
            <w:r>
              <w:rPr>
                <w:b w:val="0"/>
                <w:i w:val="0"/>
                <w:sz w:val="17"/>
              </w:rPr>
              <w:t>Written confirmations</w:t>
            </w:r>
          </w:p>
        </w:tc>
        <w:tc>
          <w:tcPr>
            <w:tcW w:type="dxa" w:w="1928"/>
          </w:tcPr>
          <w:p>
            <w:pPr>
              <w:spacing w:before="40" w:after="40"/>
            </w:pPr>
            <w:r/>
            <w:r>
              <w:rPr>
                <w:b w:val="0"/>
                <w:i w:val="0"/>
                <w:sz w:val="17"/>
              </w:rPr>
              <w:t>Months 16–18; communication officer</w:t>
            </w:r>
          </w:p>
        </w:tc>
      </w:tr>
    </w:tbl>
    <w:p>
      <w:pPr>
        <w:spacing w:after="0"/>
      </w:pPr>
    </w:p>
    <w:p>
      <w:pPr>
        <w:jc w:val="both"/>
      </w:pPr>
      <w:r>
        <w:rPr>
          <w:b w:val="0"/>
          <w:i w:val="0"/>
        </w:rPr>
        <w:t>The evaluation runs to a fixed sequence. Before month 2 both instruments are piloted with five to eight young people aged 14–17 from the territory who are not project participants, and any item that more than 80% or fewer than 10% of the pilot group answers correctly is rewritten, so that neither instrument is used on the cohort untested. In month 2 the baseline is taken and the threshold recalibration rule is applied once, on the group mean, with the decision recorded in writing. In month 4 all observers score the same recorded sequence independently and compare, targeting exact agreement on at least 80% of judgements, and if that is not reached the grid is simplified before the mobility and the decision minuted.</w:t>
      </w:r>
    </w:p>
    <w:p>
      <w:pPr>
        <w:jc w:val="both"/>
      </w:pPr>
      <w:r>
        <w:rPr>
          <w:b w:val="0"/>
          <w:i w:val="0"/>
        </w:rPr>
        <w:t>During the mobility, the daily reflection groups produce output that visibly adjusts the next day’s programme, facilitators observe, the Day 4 grid is applied with moderation immediately afterwards, and individual learning targets are reviewed at the mid-point. On Day 7 come the participatory evaluation, an anonymous written questionnaire, the Youthpass reflection and the comparison of each participant’s Day 1 digital map with their Day 7 reflection. After each local initiative there are attendance records, a short report and the ten-minute exercise. Month 10 brings the joint online review that feeds a revision of the toolkit, month 12 the follow-up questionnaire, month 17 a participatory evaluation with participants and a consortium evaluation meeting, and month 18 the final test, the comparison with the baseline, the evaluation report, and results communicated individually to each participant and collectively to parents, community partners, the 14 municipalities and the National Agency.</w:t>
      </w:r>
    </w:p>
    <w:p>
      <w:pPr>
        <w:jc w:val="both"/>
      </w:pPr>
      <w:r>
        <w:rPr>
          <w:b w:val="0"/>
          <w:i w:val="0"/>
        </w:rPr>
        <w:t>The instruments are designed so that failure is visible. A practical test can show no improvement, an observation grid can record that a participant did not perform a technique, and a participant who does not take both forms is excluded from the calculation and reported as excluded rather than quietly dropped from the denominator. We prefer that to a satisfaction questionnaire that always comes back positive. Fifteen items and twenty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4,782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Something concrete stays behind and someone owns it. The “Digital Detectives” toolkit — worksheets, exercises, games, verification grids, the manipulation grid produced by the participants and the AI-recognition sheet they wrote themselves — is tested during the mobility, revised in month 10 on the basis of what actually worked in the four local initiatives, and published free of charge in month 17 in English and Romanian, with Greek and Turkish translations delivered by the partners. It is not a report about the project but a set of materials a youth worker can pick up and use on a Tuesday afternoon.</w:t>
      </w:r>
    </w:p>
    <w:p>
      <w:pPr>
        <w:jc w:val="both"/>
      </w:pPr>
      <w:r>
        <w:rPr>
          <w:b w:val="0"/>
          <w:i w:val="0"/>
        </w:rPr>
        <w:t>It then enters standing activity rather than an archive. The coordinator integrates the toolkit into the youth animation work it already runs across its 14 partner municipalities and into the community events it holds every year; GGD takes it into the volunteer network it trains annually and into its rural youth programme; KEA takes it into its creative activity centre for children and young people and out to the 36 islands it serves. Each organisation names, in the partnership agreement, the person who owns it afterwards — a named person, not a department.</w:t>
      </w:r>
    </w:p>
    <w:p>
      <w:pPr>
        <w:jc w:val="both"/>
      </w:pPr>
      <w:r>
        <w:rPr>
          <w:b w:val="0"/>
          <w:i w:val="0"/>
        </w:rPr>
        <w:t>The twenty stay as well. They are not released at the end: each has already run a local initiative, and the organisations then involve them as peer trainers, which is both cheaper and more effective than recruiting a new cohort from scratch, while the cohort communication group remains open. The instruments stay too, since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val="0"/>
          <w:i w:val="0"/>
        </w:rPr>
        <w:t>Finally, the partnership decides its own future. In month 17 the three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2,097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 xml:space="preserve">Yes. Four measures, each with an addressee rather than a general intention. </w:t>
      </w: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 </w:t>
      </w:r>
      <w:r>
        <w:rPr>
          <w:b/>
          <w:i w:val="0"/>
        </w:rPr>
        <w:t>To youth organisations across Europe:</w:t>
      </w:r>
      <w:r>
        <w:rPr>
          <w:b w:val="0"/>
          <w:i w:val="0"/>
        </w:rPr>
        <w:t xml:space="preserve"> publication on the Erasmus+ Project Results Platform, dissemination through GGD’s and KEA’s own channels — KEA alone reaches more than 80 regional media outlets, a website with over 12,000 monthly visitors and a newsletter of 800 recipients — and dissemination through the LEADER and ELARD networks, where the coordinator already has transnational cooperation experience; target, at least four organisations outside the partnership confirming in writing that they use the toolkit. </w:t>
      </w:r>
      <w:r>
        <w:rPr>
          <w:b/>
          <w:i w:val="0"/>
        </w:rPr>
        <w:t>To local institutions:</w:t>
      </w:r>
      <w:r>
        <w:rPr>
          <w:b w:val="0"/>
          <w:i w:val="0"/>
        </w:rPr>
        <w:t xml:space="preserve"> the evaluation report and a short set of recommendations delivered to the 14 partner municipalities and to the partner institutions in the other three countries. </w:t>
      </w:r>
      <w:r>
        <w:rPr>
          <w:b/>
          <w:i w:val="0"/>
        </w:rPr>
        <w:t>To the communities themselves:</w:t>
      </w:r>
      <w:r>
        <w:rPr>
          <w:b w:val="0"/>
          <w:i w:val="0"/>
        </w:rPr>
        <w:t xml:space="preserve"> the four media products remain in circulation on the organisations’ channels — unlike a report, they are the kind of thing people actually watch.</w:t>
      </w:r>
    </w:p>
    <w:p>
      <w:pPr>
        <w:spacing w:after="200"/>
      </w:pPr>
      <w:r>
        <w:rPr>
          <w:b w:val="0"/>
          <w:i/>
          <w:color w:val="5A5A5A"/>
          <w:sz w:val="16"/>
        </w:rPr>
        <w:t>≈ 1,489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three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One meeting per country before consents are signed; 100% of families reached with the pack; group leaders. 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KEA’s regional media network, website and newsletter; GGD’s volunteer network;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val="0"/>
          <w:i w:val="0"/>
        </w:rPr>
        <w:t>All materials produced — toolkit, media products, presentations, press releases — carry the European Union emblem and the funding statement in line with the Programme’s rules, and on Day 1 participants have a short session on what Erasmus+ is and what stays open to them afterwards, from the European Solidarity Corps to DiscoverEU and other exchanges, so that this project is not the end of their contact with the Programme.</w:t>
      </w:r>
    </w:p>
    <w:p>
      <w:pPr>
        <w:jc w:val="both"/>
      </w:pPr>
      <w:r>
        <w:rPr>
          <w:b w:val="0"/>
          <w:i w:val="0"/>
        </w:rPr>
        <w:t>Because all participants are minors, every piece of content goes through a two-step review before publication: the participant responsible for documentation prepares it, and the safeguarding focal point approves it. No identifiable image of a minor is published without written consent, no personal data of third parties appears, and no location details for minors are given. That rule is written into the group agreement on Day 1, and it is itself part of the learning.</w:t>
      </w:r>
    </w:p>
    <w:p>
      <w:pPr>
        <w:spacing w:after="200"/>
      </w:pPr>
      <w:r>
        <w:rPr>
          <w:b w:val="0"/>
          <w:i/>
          <w:color w:val="5A5A5A"/>
          <w:sz w:val="16"/>
        </w:rPr>
        <w:t>≈ 2,510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20 participants aged 14–17, three groups from three countries (7 + 7 + 6),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