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400" w:after="240"/>
        <w:jc w:val="center"/>
      </w:pPr>
      <w:r>
        <w:rPr>
          <w:b/>
          <w:i w:val="0"/>
          <w:sz w:val="36"/>
        </w:rPr>
        <w:t>S.A.5.2 – Formarea personalului didactic din învățământul profesional și tehnic, inclusiv dual</w:t>
      </w:r>
    </w:p>
    <w:p>
      <w:pPr>
        <w:spacing w:after="80" w:before="0"/>
        <w:jc w:val="center"/>
      </w:pPr>
      <w:r>
        <w:rPr>
          <w:b/>
          <w:i w:val="0"/>
          <w:sz w:val="28"/>
        </w:rPr>
        <w:t>Documente justificative – luna septembrie 2026 (L3)</w:t>
      </w:r>
    </w:p>
    <w:p>
      <w:pPr>
        <w:spacing w:after="600" w:before="0"/>
        <w:jc w:val="center"/>
      </w:pPr>
      <w:r>
        <w:rPr>
          <w:b w:val="0"/>
          <w:i w:val="0"/>
          <w:sz w:val="26"/>
        </w:rPr>
        <w:t>Raportul de progres nr. 1 (iulie – septembrie 2026)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Proiect: UNIC – „Uniți pentru Nevoile Incluzive și Continuitatea Educației Elevilor”, cod SMIS 352704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Beneficiar: Asociația Grupul de Acțiune Locală Napoca Porolissum</w:t>
      </w:r>
    </w:p>
    <w:p>
      <w:pPr>
        <w:spacing w:after="40" w:before="0"/>
        <w:jc w:val="center"/>
      </w:pPr>
      <w:r>
        <w:rPr>
          <w:b w:val="0"/>
          <w:i w:val="0"/>
          <w:sz w:val="22"/>
        </w:rPr>
        <w:t>Contract de finanțare nr. 11205/16.06.2026 – Programul Educație și Ocupare 2021-2027</w:t>
      </w:r>
    </w:p>
    <w:p>
      <w:pPr>
        <w:spacing w:after="600" w:before="0"/>
        <w:jc w:val="center"/>
      </w:pPr>
      <w:r>
        <w:rPr>
          <w:b w:val="0"/>
          <w:i w:val="0"/>
          <w:sz w:val="22"/>
        </w:rPr>
        <w:t>Acțiunea 8.f.1 – formarea personalului didactic din ÎPT (GSCS 8.F)</w:t>
      </w:r>
    </w:p>
    <w:p>
      <w:pPr>
        <w:spacing w:after="40" w:before="0"/>
      </w:pPr>
      <w:r>
        <w:rPr>
          <w:b/>
          <w:i w:val="0"/>
          <w:sz w:val="22"/>
        </w:rPr>
        <w:t>Conținut:</w:t>
      </w:r>
    </w:p>
    <w:p>
      <w:pPr>
        <w:spacing w:after="20" w:before="0"/>
      </w:pPr>
      <w:r>
        <w:rPr>
          <w:b w:val="0"/>
          <w:i w:val="0"/>
          <w:sz w:val="22"/>
        </w:rPr>
        <w:t>1. Fișa activității</w:t>
      </w:r>
    </w:p>
    <w:p>
      <w:pPr>
        <w:spacing w:after="20" w:before="0"/>
      </w:pPr>
      <w:r>
        <w:rPr>
          <w:b w:val="0"/>
          <w:i w:val="0"/>
          <w:sz w:val="22"/>
        </w:rPr>
        <w:t>2. Recrutarea cadrelor didactice și identificarea furnizorului de formare (iulie – august 2026)</w:t>
      </w:r>
    </w:p>
    <w:p>
      <w:pPr>
        <w:spacing w:after="20" w:before="0"/>
      </w:pPr>
      <w:r>
        <w:rPr>
          <w:b w:val="0"/>
          <w:i w:val="0"/>
          <w:sz w:val="22"/>
        </w:rPr>
        <w:t>3. Programul de formare acreditat și calendarul activităților de formare</w:t>
      </w:r>
    </w:p>
    <w:p>
      <w:pPr>
        <w:spacing w:after="20" w:before="0"/>
      </w:pPr>
      <w:r>
        <w:rPr>
          <w:b w:val="0"/>
          <w:i w:val="0"/>
          <w:sz w:val="22"/>
        </w:rPr>
        <w:t>4. Debutul cursului (10.09.2026): informarea cursanților, suportul de curs, portofoliul cursantului</w:t>
      </w:r>
    </w:p>
    <w:p>
      <w:pPr>
        <w:spacing w:after="20" w:before="0"/>
      </w:pPr>
      <w:r>
        <w:rPr>
          <w:b w:val="0"/>
          <w:i w:val="0"/>
          <w:sz w:val="22"/>
        </w:rPr>
        <w:t>5. Capturi de ecran din sesiunile online sincrone (10, 15 și 16.09.2026)</w:t>
      </w:r>
    </w:p>
    <w:p>
      <w:pPr>
        <w:spacing w:after="20" w:before="0"/>
      </w:pPr>
      <w:r>
        <w:rPr>
          <w:b w:val="0"/>
          <w:i w:val="0"/>
          <w:sz w:val="22"/>
        </w:rPr>
        <w:t>6. Corespondența cu furnizorul în perioada derulării programului</w:t>
      </w:r>
    </w:p>
    <w:p>
      <w:pPr>
        <w:spacing w:after="20" w:before="0"/>
      </w:pPr>
      <w:r>
        <w:rPr>
          <w:b w:val="0"/>
          <w:i w:val="0"/>
          <w:sz w:val="22"/>
        </w:rPr>
        <w:t>7. Etape următoare (în afara perioadei de raportare)</w:t>
      </w:r>
    </w:p>
    <w:p>
      <w:pPr>
        <w:spacing w:after="20" w:before="0"/>
      </w:pPr>
      <w:r>
        <w:rPr>
          <w:b w:val="0"/>
          <w:i w:val="0"/>
          <w:sz w:val="22"/>
        </w:rPr>
        <w:t>8. Anexe atașate în format PDF: suportul de curs; calendarul activităților de formare nr. 445/28.08.2026</w:t>
      </w:r>
    </w:p>
    <w:p>
      <w:pPr>
        <w:spacing w:after="480" w:before="0"/>
      </w:pPr>
    </w:p>
    <w:p>
      <w:pPr>
        <w:spacing w:after="40" w:before="0"/>
      </w:pPr>
      <w:r>
        <w:rPr>
          <w:b w:val="0"/>
          <w:i w:val="0"/>
          <w:sz w:val="22"/>
        </w:rPr>
        <w:t>Manager de proiect: Baba Alina-Ioana</w:t>
      </w:r>
    </w:p>
    <w:p>
      <w:pPr>
        <w:spacing w:after="40" w:before="0"/>
      </w:pPr>
      <w:r>
        <w:rPr>
          <w:b w:val="0"/>
          <w:i/>
          <w:sz w:val="20"/>
        </w:rPr>
        <w:t>Capturile de ecran din sesiunile online au fost realizate de echipa de proiect în timpul sesiunilor. Setul complet de capturi (48 de fișiere, 10 – 16.09.2026) și înregistrarea video a sesiunii din 10.09.2026 sunt arhivate electronic în dosarul activității; în acest document este inclusă o selecție reprezentativă, în ordine cronologică.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1. FIȘA ACTIVITĂȚII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Element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Subactivitate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SA5.2 – Formarea personalului didactic din ÎPT, inclusiv dual (acțiunea 8.f.1, GSCS 8.F); rezultat vizat: R17 – 4 cadre didactice formate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Perioada de desfășurare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iulie – august 2026: recrutarea cadrelor didactice și identificarea furnizorului; 10 – 18.09.2026: programul de formare (online); 09.10.2026: evaluarea finală (în afara perioadei de raportare)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Furnizorul de formare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Asociația Proeuro-Cons, Slatina, jud. Olt (CIF 30793978) – furnizor de programe de formare continuă acreditate de Ministerul Educației și Cercetării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Programul de formare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„Abilitare informațională în combaterea abandonului școlar: un ghid pentru cadre didactice” – program complementar, categoria 2, domeniul tematic „Reziliență școlară”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Acreditare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Aviz nr. 1555/DGMCDRSIP/30.06.2025, valabil 30.06.2025 – 01.07.2028; 12 credite profesionale transferabile (minimum 10 – maximum 12 CPT)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Durata și forma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30 de ore, integral online: 12 ore sincron (Google Meet) + 18 ore asincron (platforma Moodle a furnizorului); 12 ore componentă teoretică + 18 ore componentă practică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Structura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Modulul 1 – Fundamentele abandonului școlar (10 h); Modulul 2 – Intervenții și strategii de prevenire a abandonului școlar (15 h); Modulul 3 – Monitorizarea eficienței intervențiilor de combatere a abandonului școlar (5 h)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Seria / grupa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Seria 1, Grupa 1 – 4 cursanți înscriși (Calendarul activităților de formare nr. 445/28.08.2026)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Formator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Nicoară Remus (Asociația Proeuro-Cons); responsabil program: Bold Nicolae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Cursanți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4 cadre didactice din unitățile de învățământ partenere, înregistrate în grupul țintă (categoria „personal didactic”): 3 de la Colegiul Tehnic Turda și 1 de la Liceul Teologic Reformat Cluj-Napoca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Evaluarea finală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09.10.2026, online sincron (Comisia de evaluare finală a furnizorului); documentele de absolvire se eliberează în maximum 30 de zile de la evaluare</w:t>
            </w:r>
          </w:p>
        </w:tc>
      </w:tr>
      <w:tr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Facilități suplimentare</w:t>
            </w:r>
          </w:p>
        </w:tc>
        <w:tc>
          <w:tcPr>
            <w:tcW w:type="dxa" w:w="78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două sesiuni fizice de orientare și sprijin aplicativ (maximum 3 ore fiecare), la Huedin și la Turda, programate de comun acord după finalizarea programului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2. RECRUTAREA CADRELOR DIDACTICE ȘI IDENTIFICAREA FURNIZORULUI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În lunile iulie – august 2026, Expertul grup țintă 2 a identificat, împreună cu conducerile unităților de învățământ partenere, cadrele didactice care lucrează direct cu elevii din grupul țintă și le-a informat cu privire la programul de formare; în paralel au fost identificați furnizorii de programe de formare continuă acreditate și au fost transmise solicitările de ofertă (procedura de achiziție este descrisă în SA2.1).</w:t>
      </w:r>
    </w:p>
    <w:p>
      <w:pPr>
        <w:keepNext/>
        <w:spacing w:before="200" w:after="120"/>
      </w:pPr>
      <w:r>
        <w:rPr>
          <w:b/>
          <w:i w:val="0"/>
          <w:sz w:val="26"/>
        </w:rPr>
        <w:t>Cadrele didactice recrutate (grupa de formare)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Nr.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Cadrul didactic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Specializarea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val="clear" w:color="auto" w:fill="E7E6E6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Unitatea de învățământ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Anderco Claudia-Maria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Limba și literatura română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Liceul Teologic Reformat Cluj-Napoca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Tiron Maria-Emilia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Limba și literatura română – limba engleză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Colegiul Tehnic Turda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Arkosi Corina-Lorena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Fizică (predă și matematică)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Colegiul Tehnic Turda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Pleșoiu Viorica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Fizică – informatică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Colegiul Tehnic Turda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b w:val="0"/>
          <w:i/>
          <w:sz w:val="20"/>
        </w:rPr>
        <w:t>Sursa: „Lista profesori curs (4 cadre didactice recrutate)” – evidența Expertului GT 2. Dosarele de grup țintă ale cadrelor didactice (formular de înregistrare, declarații, adeverințe de la unitățile de învățământ) sunt atașate la SA4.1/SA4.2.</w:t>
      </w:r>
    </w:p>
    <w:p>
      <w:pPr>
        <w:keepNext/>
        <w:spacing w:before="200" w:after="120"/>
      </w:pPr>
      <w:r>
        <w:rPr>
          <w:b/>
          <w:i w:val="0"/>
          <w:sz w:val="26"/>
        </w:rPr>
        <w:t>Corespondența pentru identificarea furnizorului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28653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sp_0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2865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Solicitare de colaborare – formatori pentru program de formare (e-mail transmis la 13.08.2026)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28653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sp_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2865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Solicitările de ofertă pentru servicii de formare a cadrelor didactice, transmise furnizorilor acreditați la 19.08.2026 (căsuța de e-mail a proiectului)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3. PROGRAMUL DE FORMARE ACREDITAT ȘI CALENDARUL ACTIVITĂȚILOR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Programul „Abilitare informațională în combaterea abandonului școlar: un ghid pentru cadre didactice” figurează în Lista cursurilor de pregătire profesională acreditate de Ministerul Educației și Cercetării (actualizată la 15.05.2026), cu Avizul nr. 1555/DGMCDRSIP/30.06.2025, valabil până la 30.06.2028, 30 de ore, 12 CPT, domeniul tematic „Reziliență școlară”. Extrasul din listă (paginile 1 și 100) a fost certificat de reprezentantul legal al beneficiarului și face parte din dosarul achiziției.</w:t>
      </w:r>
    </w:p>
    <w:p>
      <w:pPr>
        <w:keepNext/>
        <w:spacing w:after="40"/>
        <w:jc w:val="center"/>
      </w:pPr>
      <w:r>
        <w:drawing>
          <wp:inline>
            <wp:extent cx="6104967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reditar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4967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404040"/>
          <w:sz w:val="20"/>
        </w:rPr>
        <w:t>Lista programelor acreditate – pagina 100 din 116: programele Asociației Proeuro-Cons, inclusiv „Abilitare informațională în combaterea abandonului școlar” (Aviz 1555/DGMCDRSIP/30.06.2025, 30 ore, 12 CPT)</w:t>
      </w:r>
    </w:p>
    <w:p>
      <w:r>
        <w:br w:type="page"/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Calendarul activităților de formare nr. 445/28.08.2026 (Anexa nr. 2 la Procedura specifică nr. 29.611/24.07.2025 a Ministerului Educației și Cercetării), avizat de reprezentantul legal al furnizorului și de responsabilul de program, stabilește perioada formării 10 – 18.09.2026, locația (platforma online a furnizorului – Google Workspace și Moodle), distribuția celor 30 de ore pe module și pe tipuri de activitate și data evaluării finale (09.10.2026, ora 16:00, online sincron).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Sesiunile online sincrone (12 ore) conform calendarului: 10.09.2026 (4 h), 15.09.2026 (2 h), 16.09.2026 (3 h) și 17.09.2026 (3 h); activitățile asincrone (18 ore) s-au desfășurat pe platforma Moodle în zilele de 11, 12, 14, 15, 16, 17 și 18.09.2026.</w:t>
      </w:r>
    </w:p>
    <w:p>
      <w:pPr>
        <w:spacing w:after="120" w:before="0"/>
        <w:jc w:val="both"/>
      </w:pPr>
      <w:r>
        <w:rPr>
          <w:b w:val="0"/>
          <w:i/>
          <w:sz w:val="22"/>
        </w:rPr>
        <w:t>Calendarul activităților de formare nr. 445/28.08.2026 (2 pagini, avizat de reprezentantul legal al furnizorului și de responsabilul de program) este atașat integral, în format PDF, la finalul acestui document (Anexa 2).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4. DEBUTUL CURSULUI – 10.09.2026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La 09.09.2026 furnizorul a transmis cursanților și beneficiarului e-mailul „Informații debut curs”, cu confirmarea înscrierii, calendarul activităților, linkul sesiunilor Google Meet (sesiunea din 10.09.2026, 16:00 – 20:00), regulile de participare la sesiuni, structura portofoliului cursantului și informații privind evaluarea finală și eliberarea documentelor de absolvire. E-mailul a fost retransmis membrilor echipei de proiect la 10.09.2026, ora 08:37.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31027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_debut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3102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E-mailul „Informații debut curs” – partea 1: confirmarea înscrierii, data începerii (10.09.2026), formatorul, linkul Google Meet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28797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_debut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2879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E-mailul „Informații debut curs” – partea 2: calendarul, platforma Moodle, condițiile de participare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308284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_debut_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3082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E-mailul „Informații debut curs” – partea 3: evaluarea finală, documentele de absolvire, atașamentele (OMEC 3986/2025, procedura specifică, calendarul, portofoliul cursantului, suportul de curs)</w:t>
      </w:r>
    </w:p>
    <w:p>
      <w:r>
        <w:br w:type="page"/>
      </w:r>
    </w:p>
    <w:p>
      <w:pPr>
        <w:keepNext/>
        <w:spacing w:before="200" w:after="120"/>
      </w:pPr>
      <w:r>
        <w:rPr>
          <w:b/>
          <w:i w:val="0"/>
          <w:sz w:val="26"/>
        </w:rPr>
        <w:t>Suportul de curs și portofoliul cursantului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Cursanții au primit suportul de curs în format electronic („Abilitare informațională în combaterea abandonului școlar: un ghid pentru cadre didactice” – program de dezvoltare profesională continuă complementar, Asociația Proeuro-Cons, 29 de pagini), pagina de gardă a portofoliului cursantului cu structura acestuia, precum și OMEC nr. 3986/2025 și Procedura specifică nr. 29.611/24.07.2025 cu Anexa 2. Suportul de curs este atașat integral, în format PDF, la finalul acestui document (Anexa 1); celelalte materiale sunt arhivate în dosarul activității.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center"/>
            </w:pPr>
            <w:r>
              <w:drawing>
                <wp:inline>
                  <wp:extent cx="3024000" cy="4276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ort-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42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</w:tcPr>
          <w:p>
            <w:pPr>
              <w:jc w:val="center"/>
            </w:pPr>
            <w:r>
              <w:drawing>
                <wp:inline>
                  <wp:extent cx="3024000" cy="4276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port-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42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  <w:jc w:val="center"/>
      </w:pPr>
      <w:r>
        <w:rPr>
          <w:b w:val="0"/>
          <w:i/>
          <w:color w:val="404040"/>
          <w:sz w:val="20"/>
        </w:rPr>
        <w:t>Suportul de curs – coperta și prima pagină a Modulului 1 („Fundamentele abandonului școlar”)</w:t>
      </w:r>
    </w:p>
    <w:p>
      <w:pPr>
        <w:keepNext/>
        <w:spacing w:before="200" w:after="120"/>
      </w:pPr>
      <w:r>
        <w:rPr>
          <w:b/>
          <w:i w:val="0"/>
          <w:sz w:val="26"/>
        </w:rPr>
        <w:t>Înregistrarea sesiunii din 10.09.2026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Sesiunea de debut (Google Meet „AIC S1G1-2026”, 10.09.2026, 15:49 – 19:54) a fost înregistrată; fișierul video (3,2 GB) este arhivat în dosarul electronic al activității și poate fi pus la dispoziția ofițerului de monitorizare la cerere.</w:t>
      </w:r>
    </w:p>
    <w:p>
      <w:pPr>
        <w:spacing w:after="120"/>
      </w:pPr>
      <w:hyperlink r:id="rId16">
        <w:r>
          <w:rPr>
            <w:color w:val="0563C1"/>
            <w:u w:val="single"/>
            <w:sz w:val="22"/>
          </w:rPr>
          <w:t xml:space="preserve">Înregistrarea sesiunii din 10.09.2026 – link de acces (Google Drive, dosarul proiectului)</w:t>
        </w:r>
      </w:hyperlink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5. CAPTURI DE ECRAN DIN SESIUNILE ONLINE SINCRONE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Sesiunile sincrone s-au desfășurat pe Google Meet (întâlnirea „AIC S1G1-2026”, cod MNVTJBUYNH), cu formatorul Nicoară Remus și cele 4 cadre didactice. Capturile de mai jos au fost realizate în timpul sesiunilor. Capturile care redau ecranul partajat de formator documentează conținutul parcurs (suportul de curs și materialele de prezentare).</w:t>
      </w:r>
    </w:p>
    <w:p>
      <w:r>
        <w:br w:type="page"/>
      </w:r>
    </w:p>
    <w:p>
      <w:pPr>
        <w:keepNext/>
        <w:spacing w:before="200" w:after="120"/>
      </w:pPr>
      <w:r>
        <w:rPr>
          <w:b/>
          <w:i w:val="0"/>
          <w:sz w:val="24"/>
        </w:rPr>
        <w:t>Sesiunea din 10.09.2026 – 16:00 – 20:00 (4 ore sincron) – Modulul 1 – Fundamentele abandonului școlar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6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deschiderea sesiunii: formatorul și cele 4 cadre didactice conectate (Google Meet „AIC S1G1-2026”)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6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material video prezentat de formator (ecran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6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participanții în timpul prezentării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participanții în timpul sesiunii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7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participanții în timpul sesiunii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7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Material de curs prezentat în sesiunea din 10.09.2026 – „Corpul astral (emoții) – energetic” (suportul de curs deschis pe ecranul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prezentarea „Personalitatea omului” (ecran partajat de formator)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10.09.2026 – încheierea sesiunii</w:t>
      </w:r>
    </w:p>
    <w:p>
      <w:r>
        <w:br w:type="page"/>
      </w:r>
    </w:p>
    <w:p>
      <w:pPr>
        <w:keepNext/>
        <w:spacing w:before="200" w:after="120"/>
      </w:pPr>
      <w:r>
        <w:rPr>
          <w:b/>
          <w:i w:val="0"/>
          <w:sz w:val="24"/>
        </w:rPr>
        <w:t>Sesiunea din 15.09.2026 – 16:00 – 20:00, din care 2 ore sincron – Modulul 2 – Intervenții și strategii de prevenire a abandonului școlar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deschiderea părții sincrone: formatorul și cele 4 cadre didactice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„Personalitatea omului” (ecran partajat de formator)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Material de curs prezentat în sesiunea din 15.09.2026 – etapele dezvoltării sistemului intelectual (14 – 21 de ani)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8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etapele dezvoltării copilului și tânărului (ecran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9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„Temperamentele umane – cele patru temperamente”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9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temperamentul coleric (ecran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9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temperamentul flegmatic (ecran partajat)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9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15.09.2026 – sinteza celor patru temperamente, încheierea sesiunii</w:t>
      </w:r>
    </w:p>
    <w:p>
      <w:r>
        <w:br w:type="page"/>
      </w:r>
    </w:p>
    <w:p>
      <w:pPr>
        <w:keepNext/>
        <w:spacing w:before="200" w:after="120"/>
      </w:pPr>
      <w:r>
        <w:rPr>
          <w:b/>
          <w:i w:val="0"/>
          <w:sz w:val="24"/>
        </w:rPr>
        <w:t>Sesiunea din 16.09.2026 – 16:00 – 20:00, din care 3 ore sincron – Modulul 2 – Intervenții și strategii de prevenire a abandonului școlar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39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„Libera inițiativă” (ecran partajat de formator)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Material de curs prezentat în sesiunea din 16.09.2026 – „Libera inițiativă”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„Critică / Feedback corectiv” (ecran partajat)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„Harta conștiinței” (ecran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Material de curs prezentat în sesiunea din 16.09.2026 – „Imitarea”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„Omul educat” (ecran partajat)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tipurile de inteligență (ecran partajat)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84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144000" cy="345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et_240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000" cy="34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Sesiunea din 16.09.2026 – tipurile de inteligență (continuare)</w:t>
      </w:r>
    </w:p>
    <w:p>
      <w:pPr>
        <w:spacing w:after="120" w:before="0"/>
        <w:jc w:val="both"/>
      </w:pPr>
      <w:r>
        <w:rPr>
          <w:b w:val="0"/>
          <w:i/>
          <w:sz w:val="22"/>
        </w:rPr>
        <w:t>Sesiunea din 17.09.2026 (16:00 – 20:00, din care 3 ore sincron – Modulele 2 și 3) și activitățile asincrone de pe platforma Moodle (11, 12, 14 – 18.09.2026) s-au desfășurat conform calendarului activităților de formare (Anexa 2).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6. CORESPONDENȚA CU FURNIZORUL</w:t>
      </w:r>
    </w:p>
    <w:p>
      <w:pPr>
        <w:spacing w:after="120" w:before="0"/>
        <w:jc w:val="both"/>
      </w:pPr>
      <w:r>
        <w:rPr>
          <w:b w:val="0"/>
          <w:i w:val="0"/>
          <w:sz w:val="22"/>
        </w:rPr>
        <w:t>Comunicarea cu furnizorul s-a realizat prin e-mail, de pe adresa proiectului, și a vizat constituirea grupei de formare, informațiile de debut și derularea sesiunilor.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center"/>
            </w:pPr>
            <w:r>
              <w:drawing>
                <wp:inline>
                  <wp:extent cx="6372810" cy="286532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sp_0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10" cy="2865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0"/>
        <w:jc w:val="center"/>
      </w:pPr>
      <w:r>
        <w:rPr>
          <w:b w:val="0"/>
          <w:i/>
          <w:color w:val="404040"/>
          <w:sz w:val="20"/>
        </w:rPr>
        <w:t>Corespondența cu Asociația Proeuro-Cons în luna septembrie 2026 (căsuța de e-mail a proiectului – firul „Informații debut curs” și mesajele conexe)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7. ETAPE URMĂTOARE (ÎN AFARA PERIOADEI DE RAPORTARE)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09.10.2026 – evaluarea finală a cursanților, online sincron, pe baza portofoliilor realizate pe parcursul programului;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în maximum 30 de zile de la evaluare – eliberarea documentelor de absolvire (certificate/atestate cu 12 CPT) de către furnizor și transmiterea lor cursanților;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recepția serviciilor de formare, pe baza raportului de activitate al furnizorului și a documentelor de absolvire;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organizarea celor două sesiuni fizice de orientare și sprijin aplicativ (Huedin și Turda), la date stabilite de comun acord cu furnizorul;</w:t>
      </w:r>
    </w:p>
    <w:p>
      <w:pPr>
        <w:spacing w:after="240" w:before="0"/>
      </w:pPr>
    </w:p>
    <w:p>
      <w:pPr>
        <w:spacing w:before="2400" w:after="240"/>
        <w:jc w:val="center"/>
      </w:pPr>
      <w:r>
        <w:rPr>
          <w:b/>
          <w:i w:val="0"/>
          <w:sz w:val="32"/>
        </w:rPr>
        <w:t>ANEXE (ATAȘATE ÎN FORMAT PDF)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Anexa 1 – Suportul de curs „Abilitare informațională în combaterea abandonului școlar: un ghid pentru cadre didactice” (Asociația Proeuro-Cons, 29 de pagini), transmis cursanților la debutul programului;</w:t>
      </w:r>
    </w:p>
    <w:p>
      <w:pPr>
        <w:spacing w:after="40"/>
        <w:ind w:left="357" w:hanging="357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>Anexa 2 – Calendarul activităților de formare nr. 445/28.08.2026 (Anexa nr. 2 la Procedura specifică nr. 29.611/24.07.2025, 2 pagini), avizat de furnizor.</w:t>
      </w:r>
    </w:p>
    <w:p>
      <w:pPr>
        <w:spacing w:after="400" w:before="0"/>
      </w:pPr>
    </w:p>
    <w:p>
      <w:pPr>
        <w:spacing w:after="40" w:before="0"/>
      </w:pPr>
      <w:r>
        <w:rPr>
          <w:b w:val="0"/>
          <w:i w:val="0"/>
          <w:sz w:val="22"/>
        </w:rPr>
        <w:t>Manager de proiect,</w:t>
      </w:r>
    </w:p>
    <w:p>
      <w:pPr>
        <w:spacing w:after="40" w:before="0"/>
      </w:pPr>
      <w:r>
        <w:rPr>
          <w:b w:val="0"/>
          <w:i w:val="0"/>
          <w:sz w:val="22"/>
        </w:rPr>
        <w:t>Baba Alina-Ioana</w:t>
      </w:r>
    </w:p>
    <w:p>
      <w:pPr>
        <w:spacing w:after="120" w:before="0"/>
      </w:pPr>
      <w:r>
        <w:rPr>
          <w:b w:val="0"/>
          <w:i w:val="0"/>
          <w:sz w:val="22"/>
        </w:rPr>
        <w:t>______________________</w:t>
      </w:r>
    </w:p>
    <w:sectPr>
      <w:headerReference r:id="rId6" w:type="default"/>
      <w:footerReference r:id="rId7" w:type="default"/>
      <w:pgSz w:h="16838" w:w="11906" w:orient="portrait"/>
      <w:pgMar w:bottom="1474" w:top="2608" w:left="850" w:right="850" w:header="45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655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655"/>
      <w:tblGridChange w:id="0">
        <w:tblGrid>
          <w:gridCol w:w="1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943200" cy="387000"/>
                <wp:effectExtent b="0" l="0" r="0" t="0"/>
                <wp:docPr descr="gal" id="4" name="image4.png"/>
                <a:graphic>
                  <a:graphicData uri="http://schemas.openxmlformats.org/drawingml/2006/picture">
                    <pic:pic>
                      <pic:nvPicPr>
                        <pic:cNvPr descr="gal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2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5404"/>
      <w:gridCol w:w="2985"/>
      <w:gridCol w:w="1816"/>
      <w:tblGridChange w:id="0">
        <w:tblGrid>
          <w:gridCol w:w="5404"/>
          <w:gridCol w:w="2985"/>
          <w:gridCol w:w="18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3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2235600" cy="510480"/>
                <wp:effectExtent b="0" l="0" r="0" t="0"/>
                <wp:docPr descr="eu" id="1" name="image1.png"/>
                <a:graphic>
                  <a:graphicData uri="http://schemas.openxmlformats.org/drawingml/2006/picture">
                    <pic:pic>
                      <pic:nvPicPr>
                        <pic:cNvPr descr="eu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4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699480" cy="699480"/>
                <wp:effectExtent b="0" l="0" r="0" t="0"/>
                <wp:docPr descr="gov" id="3" name="image3.png"/>
                <a:graphic>
                  <a:graphicData uri="http://schemas.openxmlformats.org/drawingml/2006/picture">
                    <pic:pic>
                      <pic:nvPicPr>
                        <pic:cNvPr descr="gov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5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045440" cy="387000"/>
                <wp:effectExtent b="0" l="0" r="0" t="0"/>
                <wp:docPr descr="unic_peo" id="2" name="image2.png"/>
                <a:graphic>
                  <a:graphicData uri="http://schemas.openxmlformats.org/drawingml/2006/picture">
                    <pic:pic>
                      <pic:nvPicPr>
                        <pic:cNvPr descr="unic_peo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spacing w:after="0" w:before="227" w:line="25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1e1e"/>
        <w:sz w:val="17"/>
        <w:szCs w:val="17"/>
        <w:rtl w:val="0"/>
      </w:rPr>
      <w:t xml:space="preserve">Titlul proiectului: </w:t>
    </w: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UNIC - Uniți pentru Nevoile Incluzive și Continuitatea Educației Elevilor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before="0" w:line="250" w:lineRule="auto"/>
      <w:rPr/>
    </w:pP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Proiect cofinanțat din Fondul Social European Plus prin Programul Educație și Ocupare 2021-2027 | Cod MySMIS 352704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jpg"/><Relationship Id="rId13" Type="http://schemas.openxmlformats.org/officeDocument/2006/relationships/image" Target="media/image10.jpg"/><Relationship Id="rId14" Type="http://schemas.openxmlformats.org/officeDocument/2006/relationships/image" Target="media/image11.jpg"/><Relationship Id="rId15" Type="http://schemas.openxmlformats.org/officeDocument/2006/relationships/image" Target="media/image12.jpg"/><Relationship Id="rId16" Type="http://schemas.openxmlformats.org/officeDocument/2006/relationships/hyperlink" Target="https://drive.google.com/file/d/1Ox9ReIS6BNGuRAicvYGff4537LcgQZFC/view" TargetMode="External"/><Relationship Id="rId17" Type="http://schemas.openxmlformats.org/officeDocument/2006/relationships/image" Target="media/image13.jpg"/><Relationship Id="rId18" Type="http://schemas.openxmlformats.org/officeDocument/2006/relationships/image" Target="media/image14.jpg"/><Relationship Id="rId19" Type="http://schemas.openxmlformats.org/officeDocument/2006/relationships/image" Target="media/image15.jpg"/><Relationship Id="rId20" Type="http://schemas.openxmlformats.org/officeDocument/2006/relationships/image" Target="media/image16.jpg"/><Relationship Id="rId21" Type="http://schemas.openxmlformats.org/officeDocument/2006/relationships/image" Target="media/image17.jpg"/><Relationship Id="rId22" Type="http://schemas.openxmlformats.org/officeDocument/2006/relationships/image" Target="media/image18.jpg"/><Relationship Id="rId23" Type="http://schemas.openxmlformats.org/officeDocument/2006/relationships/image" Target="media/image19.jpg"/><Relationship Id="rId24" Type="http://schemas.openxmlformats.org/officeDocument/2006/relationships/image" Target="media/image20.jpg"/><Relationship Id="rId25" Type="http://schemas.openxmlformats.org/officeDocument/2006/relationships/image" Target="media/image21.jpg"/><Relationship Id="rId26" Type="http://schemas.openxmlformats.org/officeDocument/2006/relationships/image" Target="media/image22.jpg"/><Relationship Id="rId27" Type="http://schemas.openxmlformats.org/officeDocument/2006/relationships/image" Target="media/image23.jpg"/><Relationship Id="rId28" Type="http://schemas.openxmlformats.org/officeDocument/2006/relationships/image" Target="media/image24.jpg"/><Relationship Id="rId29" Type="http://schemas.openxmlformats.org/officeDocument/2006/relationships/image" Target="media/image25.jpg"/><Relationship Id="rId30" Type="http://schemas.openxmlformats.org/officeDocument/2006/relationships/image" Target="media/image26.jpg"/><Relationship Id="rId31" Type="http://schemas.openxmlformats.org/officeDocument/2006/relationships/image" Target="media/image27.jpg"/><Relationship Id="rId32" Type="http://schemas.openxmlformats.org/officeDocument/2006/relationships/image" Target="media/image28.jpg"/><Relationship Id="rId33" Type="http://schemas.openxmlformats.org/officeDocument/2006/relationships/image" Target="media/image29.jpg"/><Relationship Id="rId34" Type="http://schemas.openxmlformats.org/officeDocument/2006/relationships/image" Target="media/image30.jpg"/><Relationship Id="rId35" Type="http://schemas.openxmlformats.org/officeDocument/2006/relationships/image" Target="media/image31.jpg"/><Relationship Id="rId36" Type="http://schemas.openxmlformats.org/officeDocument/2006/relationships/image" Target="media/image32.jpg"/><Relationship Id="rId37" Type="http://schemas.openxmlformats.org/officeDocument/2006/relationships/image" Target="media/image33.jpg"/><Relationship Id="rId38" Type="http://schemas.openxmlformats.org/officeDocument/2006/relationships/image" Target="media/image34.jpg"/><Relationship Id="rId39" Type="http://schemas.openxmlformats.org/officeDocument/2006/relationships/image" Target="media/image35.jpg"/><Relationship Id="rId40" Type="http://schemas.openxmlformats.org/officeDocument/2006/relationships/image" Target="media/image36.jpg"/><Relationship Id="rId41" Type="http://schemas.openxmlformats.org/officeDocument/2006/relationships/image" Target="media/image37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