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27</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 21 participants aged 14–17 + 4 group leaders + 2 facilitators, in three national groups of seven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30,494.00</w:t>
            </w:r>
          </w:p>
        </w:tc>
        <w:tc>
          <w:tcPr>
            <w:tcW w:type="dxa" w:w="5669"/>
          </w:tcPr>
          <w:p>
            <w:pPr>
              <w:spacing w:before="40" w:after="40"/>
            </w:pPr>
            <w:r/>
            <w:r>
              <w:rPr>
                <w:b w:val="0"/>
                <w:i w:val="0"/>
                <w:sz w:val="19"/>
              </w:rPr>
              <w:t>Of which 27,094.00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27</w:t>
            </w:r>
          </w:p>
        </w:tc>
        <w:tc>
          <w:tcPr>
            <w:tcW w:type="dxa" w:w="1361"/>
          </w:tcPr>
          <w:p>
            <w:pPr>
              <w:spacing w:before="40" w:after="40"/>
            </w:pPr>
            <w:r/>
            <w:r>
              <w:rPr>
                <w:b/>
                <w:i w:val="0"/>
                <w:sz w:val="19"/>
              </w:rPr>
              <w:t>27,094.00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(3,400.00 EUR) sits at project level, not inside the activity, which is why the project total is 30,494.00 and the activity grant 27,094.00.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5,458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Every indicator has a baseline, a target, an instrument, an owner and a moment of measurement, and the three main instruments exist in writing before submission.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2041"/>
            <w:shd w:val="clear" w:color="auto" w:fill="E8EEF7"/>
          </w:tcPr>
          <w:p>
            <w:pPr>
              <w:spacing w:before="40" w:after="40"/>
            </w:pPr>
            <w:r/>
            <w:r>
              <w:rPr>
                <w:b/>
                <w:i w:val="0"/>
                <w:color w:val="003D82"/>
                <w:sz w:val="17"/>
              </w:rPr>
              <w:t>Indicator</w:t>
            </w:r>
          </w:p>
        </w:tc>
        <w:tc>
          <w:tcPr>
            <w:tcW w:type="dxa" w:w="1361"/>
            <w:shd w:val="clear" w:color="auto" w:fill="E8EEF7"/>
          </w:tcPr>
          <w:p>
            <w:pPr>
              <w:spacing w:before="40" w:after="40"/>
            </w:pPr>
            <w:r/>
            <w:r>
              <w:rPr>
                <w:b/>
                <w:i w:val="0"/>
                <w:color w:val="003D82"/>
                <w:sz w:val="17"/>
              </w:rPr>
              <w:t>Baseline</w:t>
            </w:r>
          </w:p>
        </w:tc>
        <w:tc>
          <w:tcPr>
            <w:tcW w:type="dxa" w:w="1814"/>
            <w:shd w:val="clear" w:color="auto" w:fill="E8EEF7"/>
          </w:tcPr>
          <w:p>
            <w:pPr>
              <w:spacing w:before="40" w:after="40"/>
            </w:pPr>
            <w:r/>
            <w:r>
              <w:rPr>
                <w:b/>
                <w:i w:val="0"/>
                <w:color w:val="003D82"/>
                <w:sz w:val="17"/>
              </w:rPr>
              <w:t>Target</w:t>
            </w:r>
          </w:p>
        </w:tc>
        <w:tc>
          <w:tcPr>
            <w:tcW w:type="dxa" w:w="2268"/>
            <w:shd w:val="clear" w:color="auto" w:fill="E8EEF7"/>
          </w:tcPr>
          <w:p>
            <w:pPr>
              <w:spacing w:before="40" w:after="40"/>
            </w:pPr>
            <w:r/>
            <w:r>
              <w:rPr>
                <w:b/>
                <w:i w:val="0"/>
                <w:color w:val="003D82"/>
                <w:sz w:val="17"/>
              </w:rPr>
              <w:t>Instrument</w:t>
            </w:r>
          </w:p>
        </w:tc>
        <w:tc>
          <w:tcPr>
            <w:tcW w:type="dxa" w:w="1928"/>
            <w:shd w:val="clear" w:color="auto" w:fill="E8EEF7"/>
          </w:tcPr>
          <w:p>
            <w:pPr>
              <w:spacing w:before="40" w:after="40"/>
            </w:pPr>
            <w:r/>
            <w:r>
              <w:rPr>
                <w:b/>
                <w:i w:val="0"/>
                <w:color w:val="003D82"/>
                <w:sz w:val="17"/>
              </w:rPr>
              <w:t>When and who</w:t>
            </w:r>
          </w:p>
        </w:tc>
      </w:tr>
      <w:tr>
        <w:tc>
          <w:tcPr>
            <w:tcW w:type="dxa" w:w="2041"/>
          </w:tcPr>
          <w:p>
            <w:pPr>
              <w:spacing w:before="40" w:after="40"/>
            </w:pPr>
            <w:r/>
            <w:r>
              <w:rPr>
                <w:b w:val="0"/>
                <w:i w:val="0"/>
                <w:sz w:val="17"/>
              </w:rPr>
              <w:t>Mean score on the practical verification test (O1)</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+30% or more, for at least 17 of 21</w:t>
            </w:r>
          </w:p>
        </w:tc>
        <w:tc>
          <w:tcPr>
            <w:tcW w:type="dxa" w:w="2268"/>
          </w:tcPr>
          <w:p>
            <w:pPr>
              <w:spacing w:before="40" w:after="40"/>
            </w:pPr>
            <w:r/>
            <w:r>
              <w:rPr>
                <w:b w:val="0"/>
                <w:i w:val="0"/>
                <w:sz w:val="17"/>
              </w:rPr>
              <w:t>15-item, 30-point practical test, Form A and Form B, online, closed-device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Participants applying 4 verification techniques (O2)</w:t>
            </w:r>
          </w:p>
        </w:tc>
        <w:tc>
          <w:tcPr>
            <w:tcW w:type="dxa" w:w="1361"/>
          </w:tcPr>
          <w:p>
            <w:pPr>
              <w:spacing w:before="40" w:after="40"/>
            </w:pPr>
            <w:r/>
            <w:r>
              <w:rPr>
                <w:b w:val="0"/>
                <w:i w:val="0"/>
                <w:sz w:val="17"/>
              </w:rPr>
              <w:t>0 at selection</w:t>
            </w:r>
          </w:p>
        </w:tc>
        <w:tc>
          <w:tcPr>
            <w:tcW w:type="dxa" w:w="1814"/>
          </w:tcPr>
          <w:p>
            <w:pPr>
              <w:spacing w:before="40" w:after="40"/>
            </w:pPr>
            <w:r/>
            <w:r>
              <w:rPr>
                <w:b w:val="0"/>
                <w:i w:val="0"/>
                <w:sz w:val="17"/>
              </w:rPr>
              <w:t>At least 17 of 21</w:t>
            </w:r>
          </w:p>
        </w:tc>
        <w:tc>
          <w:tcPr>
            <w:tcW w:type="dxa" w:w="2268"/>
          </w:tcPr>
          <w:p>
            <w:pPr>
              <w:spacing w:before="40" w:after="40"/>
            </w:pPr>
            <w:r/>
            <w:r>
              <w:rPr>
                <w:b w:val="0"/>
                <w:i w:val="0"/>
                <w:sz w:val="17"/>
              </w:rPr>
              <w:t>Observation grid, 4 techniques scored 0–2, six calibrated observers, 10 of 21 double-scored</w:t>
            </w:r>
          </w:p>
        </w:tc>
        <w:tc>
          <w:tcPr>
            <w:tcW w:type="dxa" w:w="1928"/>
          </w:tcPr>
          <w:p>
            <w:pPr>
              <w:spacing w:before="40" w:after="40"/>
            </w:pPr>
            <w:r/>
            <w:r>
              <w:rPr>
                <w:b w:val="0"/>
                <w:i w:val="0"/>
                <w:sz w:val="17"/>
              </w:rPr>
              <w:t>Day 4, and in short form at the local initiatives; facilitators and group leaders</w:t>
            </w:r>
          </w:p>
        </w:tc>
      </w:tr>
      <w:tr>
        <w:tc>
          <w:tcPr>
            <w:tcW w:type="dxa" w:w="2041"/>
          </w:tcPr>
          <w:p>
            <w:pPr>
              <w:spacing w:before="40" w:after="40"/>
            </w:pPr>
            <w:r/>
            <w:r>
              <w:rPr>
                <w:b w:val="0"/>
                <w:i w:val="0"/>
                <w:sz w:val="17"/>
              </w:rPr>
              <w:t>Young people reached through local initiatives (O3)</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80, at least 20 per community</w:t>
            </w:r>
          </w:p>
        </w:tc>
        <w:tc>
          <w:tcPr>
            <w:tcW w:type="dxa" w:w="2268"/>
          </w:tcPr>
          <w:p>
            <w:pPr>
              <w:spacing w:before="40" w:after="40"/>
            </w:pPr>
            <w:r/>
            <w:r>
              <w:rPr>
                <w:b w:val="0"/>
                <w:i w:val="0"/>
                <w:sz w:val="17"/>
              </w:rPr>
              <w:t>Attendance lists, short activity reports, photographs with consent</w:t>
            </w:r>
          </w:p>
        </w:tc>
        <w:tc>
          <w:tcPr>
            <w:tcW w:type="dxa" w:w="1928"/>
          </w:tcPr>
          <w:p>
            <w:pPr>
              <w:spacing w:before="40" w:after="40"/>
            </w:pPr>
            <w:r/>
            <w:r>
              <w:rPr>
                <w:b w:val="0"/>
                <w:i w:val="0"/>
                <w:sz w:val="17"/>
              </w:rPr>
              <w:t>After each initiative, months 6–15; group leaders</w:t>
            </w:r>
          </w:p>
        </w:tc>
      </w:tr>
      <w:tr>
        <w:tc>
          <w:tcPr>
            <w:tcW w:type="dxa" w:w="2041"/>
          </w:tcPr>
          <w:p>
            <w:pPr>
              <w:spacing w:before="40" w:after="40"/>
            </w:pPr>
            <w:r/>
            <w:r>
              <w:rPr>
                <w:b w:val="0"/>
                <w:i w:val="0"/>
                <w:sz w:val="17"/>
              </w:rPr>
              <w:t>Beneficiaries able to apply 2 simple methods (O3)</w:t>
            </w:r>
          </w:p>
        </w:tc>
        <w:tc>
          <w:tcPr>
            <w:tcW w:type="dxa" w:w="1361"/>
          </w:tcPr>
          <w:p>
            <w:pPr>
              <w:spacing w:before="40" w:after="40"/>
            </w:pPr>
            <w:r/>
            <w:r>
              <w:rPr>
                <w:b w:val="0"/>
                <w:i w:val="0"/>
                <w:sz w:val="17"/>
              </w:rPr>
              <w:t>3 entry questions per workshop</w:t>
            </w:r>
          </w:p>
        </w:tc>
        <w:tc>
          <w:tcPr>
            <w:tcW w:type="dxa" w:w="1814"/>
          </w:tcPr>
          <w:p>
            <w:pPr>
              <w:spacing w:before="40" w:after="40"/>
            </w:pPr>
            <w:r/>
            <w:r>
              <w:rPr>
                <w:b w:val="0"/>
                <w:i w:val="0"/>
                <w:sz w:val="17"/>
              </w:rPr>
              <w:t>At least 70%</w:t>
            </w:r>
          </w:p>
        </w:tc>
        <w:tc>
          <w:tcPr>
            <w:tcW w:type="dxa" w:w="2268"/>
          </w:tcPr>
          <w:p>
            <w:pPr>
              <w:spacing w:before="40" w:after="40"/>
            </w:pPr>
            <w:r/>
            <w:r>
              <w:rPr>
                <w:b w:val="0"/>
                <w:i w:val="0"/>
                <w:sz w:val="17"/>
              </w:rPr>
              <w:t>The 10-minute exercise at the end of each local initiative</w:t>
            </w:r>
          </w:p>
        </w:tc>
        <w:tc>
          <w:tcPr>
            <w:tcW w:type="dxa" w:w="1928"/>
          </w:tcPr>
          <w:p>
            <w:pPr>
              <w:spacing w:before="40" w:after="40"/>
            </w:pPr>
            <w:r/>
            <w:r>
              <w:rPr>
                <w:b w:val="0"/>
                <w:i w:val="0"/>
                <w:sz w:val="17"/>
              </w:rPr>
              <w:t>At each initiative; group leader</w:t>
            </w:r>
          </w:p>
        </w:tc>
      </w:tr>
      <w:tr>
        <w:tc>
          <w:tcPr>
            <w:tcW w:type="dxa" w:w="2041"/>
          </w:tcPr>
          <w:p>
            <w:pPr>
              <w:spacing w:before="40" w:after="40"/>
            </w:pPr>
            <w:r/>
            <w:r>
              <w:rPr>
                <w:b w:val="0"/>
                <w:i w:val="0"/>
                <w:sz w:val="17"/>
              </w:rPr>
              <w:t>Overconfidence sub-score (items 9 and 14)</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Moves proportionally more than the total</w:t>
            </w:r>
          </w:p>
        </w:tc>
        <w:tc>
          <w:tcPr>
            <w:tcW w:type="dxa" w:w="2268"/>
          </w:tcPr>
          <w:p>
            <w:pPr>
              <w:spacing w:before="40" w:after="40"/>
            </w:pPr>
            <w:r/>
            <w:r>
              <w:rPr>
                <w:b w:val="0"/>
                <w:i w:val="0"/>
                <w:sz w:val="17"/>
              </w:rPr>
              <w:t>Same test, reported as a separate 4-point sub-score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Confidence gap (believed minus actual ability)</w:t>
            </w:r>
          </w:p>
        </w:tc>
        <w:tc>
          <w:tcPr>
            <w:tcW w:type="dxa" w:w="1361"/>
          </w:tcPr>
          <w:p>
            <w:pPr>
              <w:spacing w:before="40" w:after="40"/>
            </w:pPr>
            <w:r/>
            <w:r>
              <w:rPr>
                <w:b w:val="0"/>
                <w:i w:val="0"/>
                <w:sz w:val="17"/>
              </w:rPr>
              <w:t>Month 2</w:t>
            </w:r>
          </w:p>
        </w:tc>
        <w:tc>
          <w:tcPr>
            <w:tcW w:type="dxa" w:w="1814"/>
          </w:tcPr>
          <w:p>
            <w:pPr>
              <w:spacing w:before="40" w:after="40"/>
            </w:pPr>
            <w:r/>
            <w:r>
              <w:rPr>
                <w:b w:val="0"/>
                <w:i w:val="0"/>
                <w:sz w:val="17"/>
              </w:rPr>
              <w:t>Narrower at month 18</w:t>
            </w:r>
          </w:p>
        </w:tc>
        <w:tc>
          <w:tcPr>
            <w:tcW w:type="dxa" w:w="2268"/>
          </w:tcPr>
          <w:p>
            <w:pPr>
              <w:spacing w:before="40" w:after="40"/>
            </w:pPr>
            <w:r/>
            <w:r>
              <w:rPr>
                <w:b w:val="0"/>
                <w:i w:val="0"/>
                <w:sz w:val="17"/>
              </w:rPr>
              <w:t>Unscored confidence question converted to the test scale</w:t>
            </w:r>
          </w:p>
        </w:tc>
        <w:tc>
          <w:tcPr>
            <w:tcW w:type="dxa" w:w="1928"/>
          </w:tcPr>
          <w:p>
            <w:pPr>
              <w:spacing w:before="40" w:after="40"/>
            </w:pPr>
            <w:r/>
            <w:r>
              <w:rPr>
                <w:b w:val="0"/>
                <w:i w:val="0"/>
                <w:sz w:val="17"/>
              </w:rPr>
              <w:t>Months 2 and 18; Learning Programme Coordinator</w:t>
            </w:r>
          </w:p>
        </w:tc>
      </w:tr>
      <w:tr>
        <w:tc>
          <w:tcPr>
            <w:tcW w:type="dxa" w:w="2041"/>
          </w:tcPr>
          <w:p>
            <w:pPr>
              <w:spacing w:before="40" w:after="40"/>
            </w:pPr>
            <w:r/>
            <w:r>
              <w:rPr>
                <w:b w:val="0"/>
                <w:i w:val="0"/>
                <w:sz w:val="17"/>
              </w:rPr>
              <w:t>First-time participants in a European mobility</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16 of 21</w:t>
            </w:r>
          </w:p>
        </w:tc>
        <w:tc>
          <w:tcPr>
            <w:tcW w:type="dxa" w:w="2268"/>
          </w:tcPr>
          <w:p>
            <w:pPr>
              <w:spacing w:before="40" w:after="40"/>
            </w:pPr>
            <w:r/>
            <w:r>
              <w:rPr>
                <w:b w:val="0"/>
                <w:i w:val="0"/>
                <w:sz w:val="17"/>
              </w:rPr>
              <w:t>Selection form</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Participants with fewer opportunities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13 of 21</w:t>
            </w:r>
          </w:p>
        </w:tc>
        <w:tc>
          <w:tcPr>
            <w:tcW w:type="dxa" w:w="2268"/>
          </w:tcPr>
          <w:p>
            <w:pPr>
              <w:spacing w:before="40" w:after="40"/>
            </w:pPr>
            <w:r/>
            <w:r>
              <w:rPr>
                <w:b w:val="0"/>
                <w:i w:val="0"/>
                <w:sz w:val="17"/>
              </w:rPr>
              <w:t>Selection form and specific-needs sheet</w:t>
            </w:r>
          </w:p>
        </w:tc>
        <w:tc>
          <w:tcPr>
            <w:tcW w:type="dxa" w:w="1928"/>
          </w:tcPr>
          <w:p>
            <w:pPr>
              <w:spacing w:before="40" w:after="40"/>
            </w:pPr>
            <w:r/>
            <w:r>
              <w:rPr>
                <w:b w:val="0"/>
                <w:i w:val="0"/>
                <w:sz w:val="17"/>
              </w:rPr>
              <w:t>Month 2; selection commission</w:t>
            </w:r>
          </w:p>
        </w:tc>
      </w:tr>
      <w:tr>
        <w:tc>
          <w:tcPr>
            <w:tcW w:type="dxa" w:w="2041"/>
          </w:tcPr>
          <w:p>
            <w:pPr>
              <w:spacing w:before="40" w:after="40"/>
            </w:pPr>
            <w:r/>
            <w:r>
              <w:rPr>
                <w:b w:val="0"/>
                <w:i w:val="0"/>
                <w:sz w:val="17"/>
              </w:rPr>
              <w:t>Gender balance</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40% of each gender in every national group</w:t>
            </w:r>
          </w:p>
        </w:tc>
        <w:tc>
          <w:tcPr>
            <w:tcW w:type="dxa" w:w="2268"/>
          </w:tcPr>
          <w:p>
            <w:pPr>
              <w:spacing w:before="40" w:after="40"/>
            </w:pPr>
            <w:r/>
            <w:r>
              <w:rPr>
                <w:b w:val="0"/>
                <w:i w:val="0"/>
                <w:sz w:val="17"/>
              </w:rPr>
              <w:t>Participant list</w:t>
            </w:r>
          </w:p>
        </w:tc>
        <w:tc>
          <w:tcPr>
            <w:tcW w:type="dxa" w:w="1928"/>
          </w:tcPr>
          <w:p>
            <w:pPr>
              <w:spacing w:before="40" w:after="40"/>
            </w:pPr>
            <w:r/>
            <w:r>
              <w:rPr>
                <w:b w:val="0"/>
                <w:i w:val="0"/>
                <w:sz w:val="17"/>
              </w:rPr>
              <w:t>Month 2 and final confirmation; activity coordinator</w:t>
            </w:r>
          </w:p>
        </w:tc>
      </w:tr>
      <w:tr>
        <w:tc>
          <w:tcPr>
            <w:tcW w:type="dxa" w:w="2041"/>
          </w:tcPr>
          <w:p>
            <w:pPr>
              <w:spacing w:before="40" w:after="40"/>
            </w:pPr>
            <w:r/>
            <w:r>
              <w:rPr>
                <w:b w:val="0"/>
                <w:i w:val="0"/>
                <w:sz w:val="17"/>
              </w:rPr>
              <w:t>Applications received</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63 for 21 places</w:t>
            </w:r>
          </w:p>
        </w:tc>
        <w:tc>
          <w:tcPr>
            <w:tcW w:type="dxa" w:w="2268"/>
          </w:tcPr>
          <w:p>
            <w:pPr>
              <w:spacing w:before="40" w:after="40"/>
            </w:pPr>
            <w:r/>
            <w:r>
              <w:rPr>
                <w:b w:val="0"/>
                <w:i w:val="0"/>
                <w:sz w:val="17"/>
              </w:rPr>
              <w:t>Application register</w:t>
            </w:r>
          </w:p>
        </w:tc>
        <w:tc>
          <w:tcPr>
            <w:tcW w:type="dxa" w:w="1928"/>
          </w:tcPr>
          <w:p>
            <w:pPr>
              <w:spacing w:before="40" w:after="40"/>
            </w:pPr>
            <w:r/>
            <w:r>
              <w:rPr>
                <w:b w:val="0"/>
                <w:i w:val="0"/>
                <w:sz w:val="17"/>
              </w:rPr>
              <w:t>Month 2; each partner for its own group</w:t>
            </w:r>
          </w:p>
        </w:tc>
      </w:tr>
      <w:tr>
        <w:tc>
          <w:tcPr>
            <w:tcW w:type="dxa" w:w="2041"/>
          </w:tcPr>
          <w:p>
            <w:pPr>
              <w:spacing w:before="40" w:after="40"/>
            </w:pPr>
            <w:r/>
            <w:r>
              <w:rPr>
                <w:b w:val="0"/>
                <w:i w:val="0"/>
                <w:sz w:val="17"/>
              </w:rPr>
              <w:t>Satisfaction and perceived learning</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80% positive</w:t>
            </w:r>
          </w:p>
        </w:tc>
        <w:tc>
          <w:tcPr>
            <w:tcW w:type="dxa" w:w="2268"/>
          </w:tcPr>
          <w:p>
            <w:pPr>
              <w:spacing w:before="40" w:after="40"/>
            </w:pPr>
            <w:r/>
            <w:r>
              <w:rPr>
                <w:b w:val="0"/>
                <w:i w:val="0"/>
                <w:sz w:val="17"/>
              </w:rPr>
              <w:t>End-of-mobility questionnaire and daily reflection records</w:t>
            </w:r>
          </w:p>
        </w:tc>
        <w:tc>
          <w:tcPr>
            <w:tcW w:type="dxa" w:w="1928"/>
          </w:tcPr>
          <w:p>
            <w:pPr>
              <w:spacing w:before="40" w:after="40"/>
            </w:pPr>
            <w:r/>
            <w:r>
              <w:rPr>
                <w:b w:val="0"/>
                <w:i w:val="0"/>
                <w:sz w:val="17"/>
              </w:rPr>
              <w:t>Daily and on Day 7; facilitators</w:t>
            </w:r>
          </w:p>
        </w:tc>
      </w:tr>
      <w:tr>
        <w:tc>
          <w:tcPr>
            <w:tcW w:type="dxa" w:w="2041"/>
          </w:tcPr>
          <w:p>
            <w:pPr>
              <w:spacing w:before="40" w:after="40"/>
            </w:pPr>
            <w:r/>
            <w:r>
              <w:rPr>
                <w:b w:val="0"/>
                <w:i w:val="0"/>
                <w:sz w:val="17"/>
              </w:rPr>
              <w:t>Retention at 6 months</w:t>
            </w:r>
          </w:p>
        </w:tc>
        <w:tc>
          <w:tcPr>
            <w:tcW w:type="dxa" w:w="1361"/>
          </w:tcPr>
          <w:p>
            <w:pPr>
              <w:spacing w:before="40" w:after="40"/>
            </w:pPr>
            <w:r/>
            <w:r>
              <w:rPr>
                <w:b w:val="0"/>
                <w:i w:val="0"/>
                <w:sz w:val="17"/>
              </w:rPr>
              <w:t>—</w:t>
            </w:r>
          </w:p>
        </w:tc>
        <w:tc>
          <w:tcPr>
            <w:tcW w:type="dxa" w:w="1814"/>
          </w:tcPr>
          <w:p>
            <w:pPr>
              <w:spacing w:before="40" w:after="40"/>
            </w:pPr>
            <w:r/>
            <w:r>
              <w:rPr>
                <w:b w:val="0"/>
                <w:i w:val="0"/>
                <w:sz w:val="17"/>
              </w:rPr>
              <w:t>At least 16 of 21 still applying something</w:t>
            </w:r>
          </w:p>
        </w:tc>
        <w:tc>
          <w:tcPr>
            <w:tcW w:type="dxa" w:w="2268"/>
          </w:tcPr>
          <w:p>
            <w:pPr>
              <w:spacing w:before="40" w:after="40"/>
            </w:pPr>
            <w:r/>
            <w:r>
              <w:rPr>
                <w:b w:val="0"/>
                <w:i w:val="0"/>
                <w:sz w:val="17"/>
              </w:rPr>
              <w:t>Follow-up questionnaire</w:t>
            </w:r>
          </w:p>
        </w:tc>
        <w:tc>
          <w:tcPr>
            <w:tcW w:type="dxa" w:w="1928"/>
          </w:tcPr>
          <w:p>
            <w:pPr>
              <w:spacing w:before="40" w:after="40"/>
            </w:pPr>
            <w:r/>
            <w:r>
              <w:rPr>
                <w:b w:val="0"/>
                <w:i w:val="0"/>
                <w:sz w:val="17"/>
              </w:rPr>
              <w:t>Month 12; activity coordinator</w:t>
            </w:r>
          </w:p>
        </w:tc>
      </w:tr>
      <w:tr>
        <w:tc>
          <w:tcPr>
            <w:tcW w:type="dxa" w:w="2041"/>
          </w:tcPr>
          <w:p>
            <w:pPr>
              <w:spacing w:before="40" w:after="40"/>
            </w:pPr>
            <w:r/>
            <w:r>
              <w:rPr>
                <w:b w:val="0"/>
                <w:i w:val="0"/>
                <w:sz w:val="17"/>
              </w:rPr>
              <w:t>External uptake of the toolkit</w:t>
            </w:r>
          </w:p>
        </w:tc>
        <w:tc>
          <w:tcPr>
            <w:tcW w:type="dxa" w:w="1361"/>
          </w:tcPr>
          <w:p>
            <w:pPr>
              <w:spacing w:before="40" w:after="40"/>
            </w:pPr>
            <w:r/>
            <w:r>
              <w:rPr>
                <w:b w:val="0"/>
                <w:i w:val="0"/>
                <w:sz w:val="17"/>
              </w:rPr>
              <w:t>0</w:t>
            </w:r>
          </w:p>
        </w:tc>
        <w:tc>
          <w:tcPr>
            <w:tcW w:type="dxa" w:w="1814"/>
          </w:tcPr>
          <w:p>
            <w:pPr>
              <w:spacing w:before="40" w:after="40"/>
            </w:pPr>
            <w:r/>
            <w:r>
              <w:rPr>
                <w:b w:val="0"/>
                <w:i w:val="0"/>
                <w:sz w:val="17"/>
              </w:rPr>
              <w:t>At least 4 organisations outside the partnership</w:t>
            </w:r>
          </w:p>
        </w:tc>
        <w:tc>
          <w:tcPr>
            <w:tcW w:type="dxa" w:w="2268"/>
          </w:tcPr>
          <w:p>
            <w:pPr>
              <w:spacing w:before="40" w:after="40"/>
            </w:pPr>
            <w:r/>
            <w:r>
              <w:rPr>
                <w:b w:val="0"/>
                <w:i w:val="0"/>
                <w:sz w:val="17"/>
              </w:rPr>
              <w:t>Written confirmations</w:t>
            </w:r>
          </w:p>
        </w:tc>
        <w:tc>
          <w:tcPr>
            <w:tcW w:type="dxa" w:w="1928"/>
          </w:tcPr>
          <w:p>
            <w:pPr>
              <w:spacing w:before="40" w:after="40"/>
            </w:pPr>
            <w:r/>
            <w:r>
              <w:rPr>
                <w:b w:val="0"/>
                <w:i w:val="0"/>
                <w:sz w:val="17"/>
              </w:rPr>
              <w:t>Months 16–18; communication officer</w:t>
            </w:r>
          </w:p>
        </w:tc>
      </w:tr>
    </w:tbl>
    <w:p>
      <w:pPr>
        <w:spacing w:after="0"/>
      </w:pPr>
    </w:p>
    <w:p>
      <w:pPr>
        <w:jc w:val="both"/>
      </w:pPr>
      <w:r>
        <w:rPr>
          <w:b w:val="0"/>
          <w:i w:val="0"/>
        </w:rPr>
        <w:t>The evaluation runs to a fixed sequence. Before month 2 both instruments are piloted with five to eight young people aged 14–17 from the territory who are not project participants, and any item that more than 80% or fewer than 10% of the pilot group answers correctly is rewritten, so that neither instrument is used on the cohort untested. In month 2 the baseline is taken and the threshold recalibration rule is applied once, on the group mean, with the decision recorded in writing. In month 4 all observers score the same recorded sequence independently and compare, targeting exact agreement on at least 80% of judgements, and if that is not reached the grid is simplified before the mobility and the decision minuted.</w:t>
      </w:r>
    </w:p>
    <w:p>
      <w:pPr>
        <w:jc w:val="both"/>
      </w:pPr>
      <w:r>
        <w:rPr>
          <w:b w:val="0"/>
          <w:i w:val="0"/>
        </w:rPr>
        <w:t>During the mobility, the daily reflection groups produce output that visibly adjusts the next day’s programme, facilitators observe, the Day 4 grid is applied with moderation immediately afterwards, and individual learning targets are reviewed at the mid-point. On Day 7 come the participatory evaluation, an anonymous written questionnaire, the Youthpass reflection and the comparison of each participant’s Day 1 digital map with their Day 7 reflection. After each local initiative there are attendance records, a short report and the ten-minute exercise. Month 10 brings the joint online review that feeds a revision of the toolkit, month 12 the follow-up questionnaire, month 17 a participatory evaluation with participants and a consortium evaluation meeting, and month 18 the final test, the comparison with the baseline, the evaluation report, and results communicated individually to each participant and collectively to parents, community partners, the 14 municipalities and the National Agency.</w:t>
      </w:r>
    </w:p>
    <w:p>
      <w:pPr>
        <w:jc w:val="both"/>
      </w:pPr>
      <w:r>
        <w:rPr>
          <w:b w:val="0"/>
          <w:i w:val="0"/>
        </w:rPr>
        <w:t>The instruments are designed so that failure is visible. A practical test can show no improvement, an observation grid can record that a participant did not perform a technique, and a participant who does not take both forms is excluded from the calculation and reported as excluded rather than quietly dropped from the denominator. We prefer that to a satisfaction questionnaire that always comes back positive. Fifteen items and twenty-one participants is not a validated psychometric instrument and we will not describe it as one: it is fit for tracking change inside this cohort and for telling the team where the learning worked, and the final report will say what was achieved and what was not.</w:t>
      </w:r>
    </w:p>
    <w:p>
      <w:pPr>
        <w:spacing w:after="200"/>
      </w:pPr>
      <w:r>
        <w:rPr>
          <w:b w:val="0"/>
          <w:i/>
          <w:color w:val="5A5A5A"/>
          <w:sz w:val="16"/>
        </w:rPr>
        <w:t>≈ 4,791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Something concrete stays behind and someone owns it. The “Digital Detectives” toolkit — worksheets, exercises, games, verification grids, the manipulation grid produced by the participants and the AI-recognition sheet they wrote themselves — is tested during the mobility, revised in month 10 on the basis of what actually worked in the four local initiatives, and published free of charge in month 17 in English and Romanian, with Greek and Turkish translations delivered by the partners. It is not a report about the project but a set of materials a youth worker can pick up and use on a Tuesday afternoon.</w:t>
      </w:r>
    </w:p>
    <w:p>
      <w:pPr>
        <w:jc w:val="both"/>
      </w:pPr>
      <w:r>
        <w:rPr>
          <w:b w:val="0"/>
          <w:i w:val="0"/>
        </w:rPr>
        <w:t>It then enters standing activity rather than an archive. The coordinator integrates the toolkit into the youth animation work it already runs across its 14 partner municipalities and into the community events it holds every year; GGD takes it into the volunteer network it trains annually and into its rural youth programme; KEA takes it into its creative activity centre for children and young people and out to the 36 islands it serves. Each organisation names, in the partnership agreement, the person who owns it afterwards — a named person, not a department.</w:t>
      </w:r>
    </w:p>
    <w:p>
      <w:pPr>
        <w:jc w:val="both"/>
      </w:pPr>
      <w:r>
        <w:rPr>
          <w:b w:val="0"/>
          <w:i w:val="0"/>
        </w:rPr>
        <w:t>The twenty-one stay as well. They are not released at the end: each has already run a local initiative, and the organisations then involve them as peer trainers, which is both cheaper and more effective than recruiting a new cohort from scratch, while the cohort communication group remains open. The instruments stay too, since the verification test, the observation grid and the beneficiary exercise are reusable, and the coordinator ends the project owning three measurement instruments it did not have before — which changes what it can honestly claim in every youth project it writes afterwards.</w:t>
      </w:r>
    </w:p>
    <w:p>
      <w:pPr>
        <w:jc w:val="both"/>
      </w:pPr>
      <w:r>
        <w:rPr>
          <w:b w:val="0"/>
          <w:i w:val="0"/>
        </w:rPr>
        <w:t>Finally, the partnership decides its own future. In month 17 the three organisations formally assess whether to continue, and with what: a second exchange hosted by another partner, or a youth participation project on dialogue with local decision-makers. The decision is minuted either way, including if it is not to continue.</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 xml:space="preserve">Yes. Four measures, each with an addressee rather than a general intention. </w:t>
      </w:r>
      <w:r>
        <w:rPr>
          <w:b/>
          <w:i w:val="0"/>
        </w:rPr>
        <w:t>To youth organisations, libraries and community centres in the territory:</w:t>
      </w:r>
      <w:r>
        <w:rPr>
          <w:b w:val="0"/>
          <w:i w:val="0"/>
        </w:rPr>
        <w:t xml:space="preserve"> the toolkit offered free, with a presentation session in month 17 for the youth workers, librarians and community educators who will actually use it. Romania has no coordinated national media-literacy strategy and its policies in this area are fragmented across separate legal frameworks; in that context a free, tested set of materials in the hands of people who already work with rural young people has value out of proportion to the size of this project. </w:t>
      </w:r>
      <w:r>
        <w:rPr>
          <w:b/>
          <w:i w:val="0"/>
        </w:rPr>
        <w:t>To youth organisations across Europe:</w:t>
      </w:r>
      <w:r>
        <w:rPr>
          <w:b w:val="0"/>
          <w:i w:val="0"/>
        </w:rPr>
        <w:t xml:space="preserve"> publication on the Erasmus+ Project Results Platform, dissemination through GGD’s and KEA’s own channels — KEA alone reaches more than 80 regional media outlets, a website with over 12,000 monthly visitors and a newsletter of 800 recipients — and dissemination through the LEADER and ELARD networks, where the coordinator already has transnational cooperation experience; target, at least four organisations outside the partnership confirming in writing that they use the toolkit. </w:t>
      </w:r>
      <w:r>
        <w:rPr>
          <w:b/>
          <w:i w:val="0"/>
        </w:rPr>
        <w:t>To local institutions:</w:t>
      </w:r>
      <w:r>
        <w:rPr>
          <w:b w:val="0"/>
          <w:i w:val="0"/>
        </w:rPr>
        <w:t xml:space="preserve"> the evaluation report and a short set of recommendations delivered to the 14 partner municipalities and to the partner institutions in the other three countries. </w:t>
      </w:r>
      <w:r>
        <w:rPr>
          <w:b/>
          <w:i w:val="0"/>
        </w:rPr>
        <w:t>To the communities themselves:</w:t>
      </w:r>
      <w:r>
        <w:rPr>
          <w:b w:val="0"/>
          <w:i w:val="0"/>
        </w:rPr>
        <w:t xml:space="preserve"> the four media products remain in circulation on the organisations’ channels — unlike a report, they are the kind of thing people actually watch.</w:t>
      </w:r>
    </w:p>
    <w:p>
      <w:pPr>
        <w:spacing w:after="200"/>
      </w:pPr>
      <w:r>
        <w:rPr>
          <w:b w:val="0"/>
          <w:i/>
          <w:color w:val="5A5A5A"/>
          <w:sz w:val="16"/>
        </w:rPr>
        <w:t>≈ 1,489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1814"/>
            <w:shd w:val="clear" w:color="auto" w:fill="E8EEF7"/>
          </w:tcPr>
          <w:p>
            <w:pPr>
              <w:spacing w:before="40" w:after="40"/>
            </w:pPr>
            <w:r/>
            <w:r>
              <w:rPr>
                <w:b/>
                <w:i w:val="0"/>
                <w:color w:val="003D82"/>
                <w:sz w:val="17"/>
              </w:rPr>
              <w:t>Audience</w:t>
            </w:r>
          </w:p>
        </w:tc>
        <w:tc>
          <w:tcPr>
            <w:tcW w:type="dxa" w:w="2381"/>
            <w:shd w:val="clear" w:color="auto" w:fill="E8EEF7"/>
          </w:tcPr>
          <w:p>
            <w:pPr>
              <w:spacing w:before="40" w:after="40"/>
            </w:pPr>
            <w:r/>
            <w:r>
              <w:rPr>
                <w:b/>
                <w:i w:val="0"/>
                <w:color w:val="003D82"/>
                <w:sz w:val="17"/>
              </w:rPr>
              <w:t>Channel</w:t>
            </w:r>
          </w:p>
        </w:tc>
        <w:tc>
          <w:tcPr>
            <w:tcW w:type="dxa" w:w="2381"/>
            <w:shd w:val="clear" w:color="auto" w:fill="E8EEF7"/>
          </w:tcPr>
          <w:p>
            <w:pPr>
              <w:spacing w:before="40" w:after="40"/>
            </w:pPr>
            <w:r/>
            <w:r>
              <w:rPr>
                <w:b/>
                <w:i w:val="0"/>
                <w:color w:val="003D82"/>
                <w:sz w:val="17"/>
              </w:rPr>
              <w:t>Product</w:t>
            </w:r>
          </w:p>
        </w:tc>
        <w:tc>
          <w:tcPr>
            <w:tcW w:type="dxa" w:w="2835"/>
            <w:shd w:val="clear" w:color="auto" w:fill="E8EEF7"/>
          </w:tcPr>
          <w:p>
            <w:pPr>
              <w:spacing w:before="40" w:after="40"/>
            </w:pPr>
            <w:r/>
            <w:r>
              <w:rPr>
                <w:b/>
                <w:i w:val="0"/>
                <w:color w:val="003D82"/>
                <w:sz w:val="17"/>
              </w:rPr>
              <w:t>Indicator and owner</w:t>
            </w:r>
          </w:p>
        </w:tc>
      </w:tr>
      <w:tr>
        <w:tc>
          <w:tcPr>
            <w:tcW w:type="dxa" w:w="1814"/>
          </w:tcPr>
          <w:p>
            <w:pPr>
              <w:spacing w:before="40" w:after="40"/>
            </w:pPr>
            <w:r/>
            <w:r>
              <w:rPr>
                <w:b w:val="0"/>
                <w:i w:val="0"/>
                <w:sz w:val="17"/>
              </w:rPr>
              <w:t>Young people in the three communities</w:t>
            </w:r>
          </w:p>
        </w:tc>
        <w:tc>
          <w:tcPr>
            <w:tcW w:type="dxa" w:w="2381"/>
          </w:tcPr>
          <w:p>
            <w:pPr>
              <w:spacing w:before="40" w:after="40"/>
            </w:pPr>
            <w:r/>
            <w:r>
              <w:rPr>
                <w:b w:val="0"/>
                <w:i w:val="0"/>
                <w:sz w:val="17"/>
              </w:rPr>
              <w:t>The four local initiatives; the organisations’ social media; youth centres, libraries and community centres</w:t>
            </w:r>
          </w:p>
        </w:tc>
        <w:tc>
          <w:tcPr>
            <w:tcW w:type="dxa" w:w="2381"/>
          </w:tcPr>
          <w:p>
            <w:pPr>
              <w:spacing w:before="40" w:after="40"/>
            </w:pPr>
            <w:r/>
            <w:r>
              <w:rPr>
                <w:b w:val="0"/>
                <w:i w:val="0"/>
                <w:sz w:val="17"/>
              </w:rPr>
              <w:t>Workshops, the four media products, the toolkit</w:t>
            </w:r>
          </w:p>
        </w:tc>
        <w:tc>
          <w:tcPr>
            <w:tcW w:type="dxa" w:w="2835"/>
          </w:tcPr>
          <w:p>
            <w:pPr>
              <w:spacing w:before="40" w:after="40"/>
            </w:pPr>
            <w:r/>
            <w:r>
              <w:rPr>
                <w:b w:val="0"/>
                <w:i w:val="0"/>
                <w:sz w:val="17"/>
              </w:rPr>
              <w:t>At least 80 young people reached directly; group leaders</w:t>
            </w:r>
          </w:p>
        </w:tc>
      </w:tr>
      <w:tr>
        <w:tc>
          <w:tcPr>
            <w:tcW w:type="dxa" w:w="1814"/>
          </w:tcPr>
          <w:p>
            <w:pPr>
              <w:spacing w:before="40" w:after="40"/>
            </w:pPr>
            <w:r/>
            <w:r>
              <w:rPr>
                <w:b w:val="0"/>
                <w:i w:val="0"/>
                <w:sz w:val="17"/>
              </w:rPr>
              <w:t>Communities of the territory</w:t>
            </w:r>
          </w:p>
        </w:tc>
        <w:tc>
          <w:tcPr>
            <w:tcW w:type="dxa" w:w="2381"/>
          </w:tcPr>
          <w:p>
            <w:pPr>
              <w:spacing w:before="40" w:after="40"/>
            </w:pPr>
            <w:r/>
            <w:r>
              <w:rPr>
                <w:b w:val="0"/>
                <w:i w:val="0"/>
                <w:sz w:val="17"/>
              </w:rPr>
              <w:t>The 14 partner municipalities; the community events the organisation runs annually; local press</w:t>
            </w:r>
          </w:p>
        </w:tc>
        <w:tc>
          <w:tcPr>
            <w:tcW w:type="dxa" w:w="2381"/>
          </w:tcPr>
          <w:p>
            <w:pPr>
              <w:spacing w:before="40" w:after="40"/>
            </w:pPr>
            <w:r/>
            <w:r>
              <w:rPr>
                <w:b w:val="0"/>
                <w:i w:val="0"/>
                <w:sz w:val="17"/>
              </w:rPr>
              <w:t>The Day 7 public presentation; a “Digital Detectives” stand at two community events</w:t>
            </w:r>
          </w:p>
        </w:tc>
        <w:tc>
          <w:tcPr>
            <w:tcW w:type="dxa" w:w="2835"/>
          </w:tcPr>
          <w:p>
            <w:pPr>
              <w:spacing w:before="40" w:after="40"/>
            </w:pPr>
            <w:r/>
            <w:r>
              <w:rPr>
                <w:b w:val="0"/>
                <w:i w:val="0"/>
                <w:sz w:val="17"/>
              </w:rPr>
              <w:t>At least 2 community events and 3 items in local press; communication officer</w:t>
            </w:r>
          </w:p>
        </w:tc>
      </w:tr>
      <w:tr>
        <w:tc>
          <w:tcPr>
            <w:tcW w:type="dxa" w:w="1814"/>
          </w:tcPr>
          <w:p>
            <w:pPr>
              <w:spacing w:before="40" w:after="40"/>
            </w:pPr>
            <w:r/>
            <w:r>
              <w:rPr>
                <w:b w:val="0"/>
                <w:i w:val="0"/>
                <w:sz w:val="17"/>
              </w:rPr>
              <w:t>Parents and legal guardians of the participants</w:t>
            </w:r>
          </w:p>
        </w:tc>
        <w:tc>
          <w:tcPr>
            <w:tcW w:type="dxa" w:w="2381"/>
          </w:tcPr>
          <w:p>
            <w:pPr>
              <w:spacing w:before="40" w:after="40"/>
            </w:pPr>
            <w:r/>
            <w:r>
              <w:rPr>
                <w:b w:val="0"/>
                <w:i w:val="0"/>
                <w:sz w:val="17"/>
              </w:rPr>
              <w:t>The parents’ meetings in each country; the participant pack; the local initiatives and the Day 7 presentation</w:t>
            </w:r>
          </w:p>
        </w:tc>
        <w:tc>
          <w:tcPr>
            <w:tcW w:type="dxa" w:w="2381"/>
          </w:tcPr>
          <w:p>
            <w:pPr>
              <w:spacing w:before="40" w:after="40"/>
            </w:pPr>
            <w:r/>
            <w:r>
              <w:rPr>
                <w:b w:val="0"/>
                <w:i w:val="0"/>
                <w:sz w:val="17"/>
              </w:rPr>
              <w:t>Information on the programme, the supervision arrangements and the contact chain; presentations by the participants themselves</w:t>
            </w:r>
          </w:p>
        </w:tc>
        <w:tc>
          <w:tcPr>
            <w:tcW w:type="dxa" w:w="2835"/>
          </w:tcPr>
          <w:p>
            <w:pPr>
              <w:spacing w:before="40" w:after="40"/>
            </w:pPr>
            <w:r/>
            <w:r>
              <w:rPr>
                <w:b w:val="0"/>
                <w:i w:val="0"/>
                <w:sz w:val="17"/>
              </w:rPr>
              <w:t>One meeting per country before consents are signed; 100% of families reached with the pack; group leaders. Parents are involved in informing, supporting and protecting participants who are minors — they are not a target group of the project</w:t>
            </w:r>
          </w:p>
        </w:tc>
      </w:tr>
      <w:tr>
        <w:tc>
          <w:tcPr>
            <w:tcW w:type="dxa" w:w="1814"/>
          </w:tcPr>
          <w:p>
            <w:pPr>
              <w:spacing w:before="40" w:after="40"/>
            </w:pPr>
            <w:r/>
            <w:r>
              <w:rPr>
                <w:b w:val="0"/>
                <w:i w:val="0"/>
                <w:sz w:val="17"/>
              </w:rPr>
              <w:t>Youth organisations and youth workers in Europe</w:t>
            </w:r>
          </w:p>
        </w:tc>
        <w:tc>
          <w:tcPr>
            <w:tcW w:type="dxa" w:w="2381"/>
          </w:tcPr>
          <w:p>
            <w:pPr>
              <w:spacing w:before="40" w:after="40"/>
            </w:pPr>
            <w:r/>
            <w:r>
              <w:rPr>
                <w:b w:val="0"/>
                <w:i w:val="0"/>
                <w:sz w:val="17"/>
              </w:rPr>
              <w:t>Erasmus+ Project Results Platform; the partners’ networks; KEA’s regional media network, website and newsletter; GGD’s volunteer network; LEADER and ELARD</w:t>
            </w:r>
          </w:p>
        </w:tc>
        <w:tc>
          <w:tcPr>
            <w:tcW w:type="dxa" w:w="2381"/>
          </w:tcPr>
          <w:p>
            <w:pPr>
              <w:spacing w:before="40" w:after="40"/>
            </w:pPr>
            <w:r/>
            <w:r>
              <w:rPr>
                <w:b w:val="0"/>
                <w:i w:val="0"/>
                <w:sz w:val="17"/>
              </w:rPr>
              <w:t>The “Digital Detectives” toolkit</w:t>
            </w:r>
          </w:p>
        </w:tc>
        <w:tc>
          <w:tcPr>
            <w:tcW w:type="dxa" w:w="2835"/>
          </w:tcPr>
          <w:p>
            <w:pPr>
              <w:spacing w:before="40" w:after="40"/>
            </w:pPr>
            <w:r/>
            <w:r>
              <w:rPr>
                <w:b w:val="0"/>
                <w:i w:val="0"/>
                <w:sz w:val="17"/>
              </w:rPr>
              <w:t>Toolkit published and freely downloadable; at least 4 external organisations confirm use</w:t>
            </w:r>
          </w:p>
        </w:tc>
      </w:tr>
      <w:tr>
        <w:tc>
          <w:tcPr>
            <w:tcW w:type="dxa" w:w="1814"/>
          </w:tcPr>
          <w:p>
            <w:pPr>
              <w:spacing w:before="40" w:after="40"/>
            </w:pPr>
            <w:r/>
            <w:r>
              <w:rPr>
                <w:b w:val="0"/>
                <w:i w:val="0"/>
                <w:sz w:val="17"/>
              </w:rPr>
              <w:t>Local institutions and decision-makers</w:t>
            </w:r>
          </w:p>
        </w:tc>
        <w:tc>
          <w:tcPr>
            <w:tcW w:type="dxa" w:w="2381"/>
          </w:tcPr>
          <w:p>
            <w:pPr>
              <w:spacing w:before="40" w:after="40"/>
            </w:pPr>
            <w:r/>
            <w:r>
              <w:rPr>
                <w:b w:val="0"/>
                <w:i w:val="0"/>
                <w:sz w:val="17"/>
              </w:rPr>
              <w:t>Direct meetings; presentations in local councils</w:t>
            </w:r>
          </w:p>
        </w:tc>
        <w:tc>
          <w:tcPr>
            <w:tcW w:type="dxa" w:w="2381"/>
          </w:tcPr>
          <w:p>
            <w:pPr>
              <w:spacing w:before="40" w:after="40"/>
            </w:pPr>
            <w:r/>
            <w:r>
              <w:rPr>
                <w:b w:val="0"/>
                <w:i w:val="0"/>
                <w:sz w:val="17"/>
              </w:rPr>
              <w:t>Evaluation report; short recommendations</w:t>
            </w:r>
          </w:p>
        </w:tc>
        <w:tc>
          <w:tcPr>
            <w:tcW w:type="dxa" w:w="2835"/>
          </w:tcPr>
          <w:p>
            <w:pPr>
              <w:spacing w:before="40" w:after="40"/>
            </w:pPr>
            <w:r/>
            <w:r>
              <w:rPr>
                <w:b w:val="0"/>
                <w:i w:val="0"/>
                <w:sz w:val="17"/>
              </w:rPr>
              <w:t>At least 4 institutions informed; project manager</w:t>
            </w:r>
          </w:p>
        </w:tc>
      </w:tr>
    </w:tbl>
    <w:p>
      <w:pPr>
        <w:spacing w:after="0"/>
      </w:pPr>
    </w:p>
    <w:p>
      <w:pPr>
        <w:jc w:val="both"/>
      </w:pPr>
      <w:r>
        <w:rPr>
          <w:b w:val="0"/>
          <w:i w:val="0"/>
        </w:rPr>
        <w:t>All materials produced — toolkit, media products, presentations, press releases — carry the European Union emblem and the funding statement in line with the Programme’s rules, and on Day 1 participants have a short session on what Erasmus+ is and what stays open to them afterwards, from the European Solidarity Corps to DiscoverEU and other exchanges, so that this project is not the end of their contact with the Programme.</w:t>
      </w:r>
    </w:p>
    <w:p>
      <w:pPr>
        <w:jc w:val="both"/>
      </w:pPr>
      <w:r>
        <w:rPr>
          <w:b w:val="0"/>
          <w:i w:val="0"/>
        </w:rPr>
        <w:t>Because all participants are minors, every piece of content goes through a two-step review before publication: the participant responsible for documentation prepares it, and the safeguarding focal point approves it. No identifiable image of a minor is published without written consent, no personal data of third parties appears, and no location details for minors are given. That rule is written into the group agreement on Day 1, and it is itself part of the learning.</w:t>
      </w:r>
    </w:p>
    <w:p>
      <w:pPr>
        <w:spacing w:after="200"/>
      </w:pPr>
      <w:r>
        <w:rPr>
          <w:b w:val="0"/>
          <w:i/>
          <w:color w:val="5A5A5A"/>
          <w:sz w:val="16"/>
        </w:rPr>
        <w:t>≈ 2,510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Participants are the producers of the disseminated results, not their subject. They make the four media products; they design and lead the four local initiatives; they present publicly on Day 7 to guests from the community, the municipalities and the press; they co-present the results across the localities of the territory in months 16–17; and defined documentation roles — photo and video, activity diary, contact with the host community — are assigned in month 3 and held throughout. A fifteen-year-old explaining to a room of other young people how to check whether a photograph is what it claims to be is a more effective dissemination instrument than any press release the organisation could write — and it is also the moment the learning stops being ours and becomes theirs.</w:t>
      </w:r>
    </w:p>
    <w:p>
      <w:pPr>
        <w:spacing w:after="200"/>
      </w:pPr>
      <w:r>
        <w:rPr>
          <w:b w:val="0"/>
          <w:i/>
          <w:color w:val="5A5A5A"/>
          <w:sz w:val="16"/>
        </w:rPr>
        <w:t>≈ 783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