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VERIFAI — assessment against the KA152 evaluation grid</w:t>
      </w:r>
    </w:p>
    <w:p>
      <w:pPr>
        <w:spacing w:after="160"/>
      </w:pPr>
      <w:r>
        <w:rPr>
          <w:b w:val="0"/>
          <w:i/>
          <w:color w:val="5A5A5A"/>
          <w:sz w:val="17"/>
        </w:rPr>
        <w:t>Final application, Form ID KA152-YOU-691C4B41, 58-page export, read in full with the submitted timetable annex. Scored against the three award criteria published in the Erasmus+ Programme Guide for Mobility of young people.</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The headline.</w:t>
            </w:r>
          </w:p>
          <w:p>
            <w:pPr>
              <w:spacing w:after="60"/>
            </w:pPr>
            <w:r>
              <w:rPr>
                <w:b w:val="0"/>
                <w:i w:val="0"/>
                <w:sz w:val="19"/>
              </w:rPr>
              <w:t xml:space="preserve">This is a strong application. The needs case rests on your own primary evidence, the design has a measurement architecture almost no KA152 application has, and the management section is unusually concrete. My estimate as submitted is </w:t>
            </w:r>
            <w:r>
              <w:rPr>
                <w:b/>
                <w:i w:val="0"/>
                <w:sz w:val="19"/>
              </w:rPr>
              <w:t>74–82 of 100</w:t>
            </w:r>
            <w:r>
              <w:rPr>
                <w:b w:val="0"/>
                <w:i w:val="0"/>
                <w:sz w:val="19"/>
              </w:rPr>
              <w:t xml:space="preserve">, comfortably over the 60 threshold and over the 70.0 the previous attempt scored. The gap between that and the </w:t>
            </w:r>
            <w:r>
              <w:rPr>
                <w:b/>
                <w:i w:val="0"/>
                <w:sz w:val="19"/>
              </w:rPr>
              <w:t>84–88</w:t>
            </w:r>
            <w:r>
              <w:rPr>
                <w:b w:val="0"/>
                <w:i w:val="0"/>
                <w:sz w:val="19"/>
              </w:rPr>
              <w:t xml:space="preserve"> the same text would score is made up almost entirely of internal contradictions that cost nothing to fix — figures in one field that disagree with figures in another. That is the whole of my advice.</w:t>
            </w:r>
          </w:p>
        </w:tc>
      </w:tr>
    </w:tbl>
    <w:p>
      <w:pPr>
        <w:spacing w:after="0"/>
      </w:pPr>
    </w:p>
    <w:p>
      <w:pPr>
        <w:pStyle w:val="Heading2"/>
      </w:pPr>
      <w:r>
        <w:t>The grid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2494"/>
            <w:shd w:val="clear" w:color="auto" w:fill="E8EEF7"/>
          </w:tcPr>
          <w:p>
            <w:pPr>
              <w:spacing w:before="40" w:after="40"/>
            </w:pPr>
            <w:r/>
            <w:r>
              <w:rPr>
                <w:b/>
                <w:i w:val="0"/>
                <w:color w:val="003D82"/>
                <w:sz w:val="17"/>
              </w:rPr>
              <w:t>Criterion</w:t>
            </w:r>
          </w:p>
        </w:tc>
        <w:tc>
          <w:tcPr>
            <w:tcW w:type="dxa" w:w="907"/>
            <w:shd w:val="clear" w:color="auto" w:fill="E8EEF7"/>
          </w:tcPr>
          <w:p>
            <w:pPr>
              <w:spacing w:before="40" w:after="40"/>
            </w:pPr>
            <w:r/>
            <w:r>
              <w:rPr>
                <w:b/>
                <w:i w:val="0"/>
                <w:color w:val="003D82"/>
                <w:sz w:val="17"/>
              </w:rPr>
              <w:t>Maximum</w:t>
            </w:r>
          </w:p>
        </w:tc>
        <w:tc>
          <w:tcPr>
            <w:tcW w:type="dxa" w:w="1247"/>
            <w:shd w:val="clear" w:color="auto" w:fill="E8EEF7"/>
          </w:tcPr>
          <w:p>
            <w:pPr>
              <w:spacing w:before="40" w:after="40"/>
            </w:pPr>
            <w:r/>
            <w:r>
              <w:rPr>
                <w:b/>
                <w:i w:val="0"/>
                <w:color w:val="003D82"/>
                <w:sz w:val="17"/>
              </w:rPr>
              <w:t>Minimum to pass</w:t>
            </w:r>
          </w:p>
        </w:tc>
        <w:tc>
          <w:tcPr>
            <w:tcW w:type="dxa" w:w="1701"/>
            <w:shd w:val="clear" w:color="auto" w:fill="E8EEF7"/>
          </w:tcPr>
          <w:p>
            <w:pPr>
              <w:spacing w:before="40" w:after="40"/>
            </w:pPr>
            <w:r/>
            <w:r>
              <w:rPr>
                <w:b/>
                <w:i w:val="0"/>
                <w:color w:val="003D82"/>
                <w:sz w:val="17"/>
              </w:rPr>
              <w:t>Previous application (2026 R1)</w:t>
            </w:r>
          </w:p>
        </w:tc>
        <w:tc>
          <w:tcPr>
            <w:tcW w:type="dxa" w:w="1474"/>
            <w:shd w:val="clear" w:color="auto" w:fill="E8EEF7"/>
          </w:tcPr>
          <w:p>
            <w:pPr>
              <w:spacing w:before="40" w:after="40"/>
            </w:pPr>
            <w:r/>
            <w:r>
              <w:rPr>
                <w:b/>
                <w:i w:val="0"/>
                <w:color w:val="003D82"/>
                <w:sz w:val="17"/>
              </w:rPr>
              <w:t>Estimate as submitted</w:t>
            </w:r>
          </w:p>
        </w:tc>
        <w:tc>
          <w:tcPr>
            <w:tcW w:type="dxa" w:w="1587"/>
            <w:shd w:val="clear" w:color="auto" w:fill="E8EEF7"/>
          </w:tcPr>
          <w:p>
            <w:pPr>
              <w:spacing w:before="40" w:after="40"/>
            </w:pPr>
            <w:r/>
            <w:r>
              <w:rPr>
                <w:b/>
                <w:i w:val="0"/>
                <w:color w:val="003D82"/>
                <w:sz w:val="17"/>
              </w:rPr>
              <w:t>If the contradictions are fixed</w:t>
            </w:r>
          </w:p>
        </w:tc>
      </w:tr>
      <w:tr>
        <w:tc>
          <w:tcPr>
            <w:tcW w:type="dxa" w:w="2494"/>
          </w:tcPr>
          <w:p>
            <w:pPr>
              <w:spacing w:before="40" w:after="40"/>
            </w:pPr>
            <w:r/>
            <w:r>
              <w:rPr>
                <w:b w:val="0"/>
                <w:i w:val="0"/>
                <w:sz w:val="17"/>
              </w:rPr>
              <w:t>Relevance, rationale and impact</w:t>
            </w:r>
          </w:p>
        </w:tc>
        <w:tc>
          <w:tcPr>
            <w:tcW w:type="dxa" w:w="907"/>
          </w:tcPr>
          <w:p>
            <w:pPr>
              <w:spacing w:before="40" w:after="40"/>
            </w:pPr>
            <w:r/>
            <w:r>
              <w:rPr>
                <w:b w:val="0"/>
                <w:i w:val="0"/>
                <w:sz w:val="17"/>
              </w:rPr>
              <w:t>30</w:t>
            </w:r>
          </w:p>
        </w:tc>
        <w:tc>
          <w:tcPr>
            <w:tcW w:type="dxa" w:w="1247"/>
          </w:tcPr>
          <w:p>
            <w:pPr>
              <w:spacing w:before="40" w:after="40"/>
            </w:pPr>
            <w:r/>
            <w:r>
              <w:rPr>
                <w:b w:val="0"/>
                <w:i w:val="0"/>
                <w:sz w:val="17"/>
              </w:rPr>
              <w:t>15</w:t>
            </w:r>
          </w:p>
        </w:tc>
        <w:tc>
          <w:tcPr>
            <w:tcW w:type="dxa" w:w="1701"/>
          </w:tcPr>
          <w:p>
            <w:pPr>
              <w:spacing w:before="40" w:after="40"/>
            </w:pPr>
            <w:r/>
            <w:r>
              <w:rPr>
                <w:b w:val="0"/>
                <w:i w:val="0"/>
                <w:sz w:val="17"/>
              </w:rPr>
              <w:t>23</w:t>
            </w:r>
          </w:p>
        </w:tc>
        <w:tc>
          <w:tcPr>
            <w:tcW w:type="dxa" w:w="1474"/>
          </w:tcPr>
          <w:p>
            <w:pPr>
              <w:spacing w:before="40" w:after="40"/>
            </w:pPr>
            <w:r/>
            <w:r>
              <w:rPr>
                <w:b/>
                <w:i w:val="0"/>
                <w:sz w:val="17"/>
              </w:rPr>
              <w:t>23–25</w:t>
            </w:r>
          </w:p>
        </w:tc>
        <w:tc>
          <w:tcPr>
            <w:tcW w:type="dxa" w:w="1587"/>
          </w:tcPr>
          <w:p>
            <w:pPr>
              <w:spacing w:before="40" w:after="40"/>
            </w:pPr>
            <w:r/>
            <w:r>
              <w:rPr>
                <w:b/>
                <w:i w:val="0"/>
                <w:sz w:val="17"/>
              </w:rPr>
              <w:t>26–27</w:t>
            </w:r>
          </w:p>
        </w:tc>
      </w:tr>
      <w:tr>
        <w:tc>
          <w:tcPr>
            <w:tcW w:type="dxa" w:w="2494"/>
          </w:tcPr>
          <w:p>
            <w:pPr>
              <w:spacing w:before="40" w:after="40"/>
            </w:pPr>
            <w:r/>
            <w:r>
              <w:rPr>
                <w:b w:val="0"/>
                <w:i w:val="0"/>
                <w:sz w:val="17"/>
              </w:rPr>
              <w:t>Quality of the project design</w:t>
            </w:r>
          </w:p>
        </w:tc>
        <w:tc>
          <w:tcPr>
            <w:tcW w:type="dxa" w:w="907"/>
          </w:tcPr>
          <w:p>
            <w:pPr>
              <w:spacing w:before="40" w:after="40"/>
            </w:pPr>
            <w:r/>
            <w:r>
              <w:rPr>
                <w:b w:val="0"/>
                <w:i w:val="0"/>
                <w:sz w:val="17"/>
              </w:rPr>
              <w:t>40</w:t>
            </w:r>
          </w:p>
        </w:tc>
        <w:tc>
          <w:tcPr>
            <w:tcW w:type="dxa" w:w="1247"/>
          </w:tcPr>
          <w:p>
            <w:pPr>
              <w:spacing w:before="40" w:after="40"/>
            </w:pPr>
            <w:r/>
            <w:r>
              <w:rPr>
                <w:b w:val="0"/>
                <w:i w:val="0"/>
                <w:sz w:val="17"/>
              </w:rPr>
              <w:t>20</w:t>
            </w:r>
          </w:p>
        </w:tc>
        <w:tc>
          <w:tcPr>
            <w:tcW w:type="dxa" w:w="1701"/>
          </w:tcPr>
          <w:p>
            <w:pPr>
              <w:spacing w:before="40" w:after="40"/>
            </w:pPr>
            <w:r/>
            <w:r>
              <w:rPr>
                <w:b w:val="0"/>
                <w:i w:val="0"/>
                <w:sz w:val="17"/>
              </w:rPr>
              <w:t>26</w:t>
            </w:r>
          </w:p>
        </w:tc>
        <w:tc>
          <w:tcPr>
            <w:tcW w:type="dxa" w:w="1474"/>
          </w:tcPr>
          <w:p>
            <w:pPr>
              <w:spacing w:before="40" w:after="40"/>
            </w:pPr>
            <w:r/>
            <w:r>
              <w:rPr>
                <w:b/>
                <w:i w:val="0"/>
                <w:sz w:val="17"/>
              </w:rPr>
              <w:t>29–32</w:t>
            </w:r>
          </w:p>
        </w:tc>
        <w:tc>
          <w:tcPr>
            <w:tcW w:type="dxa" w:w="1587"/>
          </w:tcPr>
          <w:p>
            <w:pPr>
              <w:spacing w:before="40" w:after="40"/>
            </w:pPr>
            <w:r/>
            <w:r>
              <w:rPr>
                <w:b/>
                <w:i w:val="0"/>
                <w:sz w:val="17"/>
              </w:rPr>
              <w:t>33–35</w:t>
            </w:r>
          </w:p>
        </w:tc>
      </w:tr>
      <w:tr>
        <w:tc>
          <w:tcPr>
            <w:tcW w:type="dxa" w:w="2494"/>
          </w:tcPr>
          <w:p>
            <w:pPr>
              <w:spacing w:before="40" w:after="40"/>
            </w:pPr>
            <w:r/>
            <w:r>
              <w:rPr>
                <w:b w:val="0"/>
                <w:i w:val="0"/>
                <w:sz w:val="17"/>
              </w:rPr>
              <w:t>Quality of the project management</w:t>
            </w:r>
          </w:p>
        </w:tc>
        <w:tc>
          <w:tcPr>
            <w:tcW w:type="dxa" w:w="907"/>
          </w:tcPr>
          <w:p>
            <w:pPr>
              <w:spacing w:before="40" w:after="40"/>
            </w:pPr>
            <w:r/>
            <w:r>
              <w:rPr>
                <w:b w:val="0"/>
                <w:i w:val="0"/>
                <w:sz w:val="17"/>
              </w:rPr>
              <w:t>30</w:t>
            </w:r>
          </w:p>
        </w:tc>
        <w:tc>
          <w:tcPr>
            <w:tcW w:type="dxa" w:w="1247"/>
          </w:tcPr>
          <w:p>
            <w:pPr>
              <w:spacing w:before="40" w:after="40"/>
            </w:pPr>
            <w:r/>
            <w:r>
              <w:rPr>
                <w:b w:val="0"/>
                <w:i w:val="0"/>
                <w:sz w:val="17"/>
              </w:rPr>
              <w:t>15</w:t>
            </w:r>
          </w:p>
        </w:tc>
        <w:tc>
          <w:tcPr>
            <w:tcW w:type="dxa" w:w="1701"/>
          </w:tcPr>
          <w:p>
            <w:pPr>
              <w:spacing w:before="40" w:after="40"/>
            </w:pPr>
            <w:r/>
            <w:r>
              <w:rPr>
                <w:b w:val="0"/>
                <w:i w:val="0"/>
                <w:sz w:val="17"/>
              </w:rPr>
              <w:t>21</w:t>
            </w:r>
          </w:p>
        </w:tc>
        <w:tc>
          <w:tcPr>
            <w:tcW w:type="dxa" w:w="1474"/>
          </w:tcPr>
          <w:p>
            <w:pPr>
              <w:spacing w:before="40" w:after="40"/>
            </w:pPr>
            <w:r/>
            <w:r>
              <w:rPr>
                <w:b/>
                <w:i w:val="0"/>
                <w:sz w:val="17"/>
              </w:rPr>
              <w:t>22–25</w:t>
            </w:r>
          </w:p>
        </w:tc>
        <w:tc>
          <w:tcPr>
            <w:tcW w:type="dxa" w:w="1587"/>
          </w:tcPr>
          <w:p>
            <w:pPr>
              <w:spacing w:before="40" w:after="40"/>
            </w:pPr>
            <w:r/>
            <w:r>
              <w:rPr>
                <w:b/>
                <w:i w:val="0"/>
                <w:sz w:val="17"/>
              </w:rPr>
              <w:t>25–26</w:t>
            </w:r>
          </w:p>
        </w:tc>
      </w:tr>
      <w:tr>
        <w:tc>
          <w:tcPr>
            <w:tcW w:type="dxa" w:w="2494"/>
          </w:tcPr>
          <w:p>
            <w:pPr>
              <w:spacing w:before="40" w:after="40"/>
            </w:pPr>
            <w:r/>
            <w:r>
              <w:rPr>
                <w:b/>
                <w:i w:val="0"/>
                <w:sz w:val="17"/>
              </w:rPr>
              <w:t>Total</w:t>
            </w:r>
          </w:p>
        </w:tc>
        <w:tc>
          <w:tcPr>
            <w:tcW w:type="dxa" w:w="907"/>
          </w:tcPr>
          <w:p>
            <w:pPr>
              <w:spacing w:before="40" w:after="40"/>
            </w:pPr>
            <w:r/>
            <w:r>
              <w:rPr>
                <w:b/>
                <w:i w:val="0"/>
                <w:sz w:val="17"/>
              </w:rPr>
              <w:t>100</w:t>
            </w:r>
          </w:p>
        </w:tc>
        <w:tc>
          <w:tcPr>
            <w:tcW w:type="dxa" w:w="1247"/>
          </w:tcPr>
          <w:p>
            <w:pPr>
              <w:spacing w:before="40" w:after="40"/>
            </w:pPr>
            <w:r/>
            <w:r>
              <w:rPr>
                <w:b/>
                <w:i w:val="0"/>
                <w:sz w:val="17"/>
              </w:rPr>
              <w:t>60 overall</w:t>
            </w:r>
          </w:p>
        </w:tc>
        <w:tc>
          <w:tcPr>
            <w:tcW w:type="dxa" w:w="1701"/>
          </w:tcPr>
          <w:p>
            <w:pPr>
              <w:spacing w:before="40" w:after="40"/>
            </w:pPr>
            <w:r/>
            <w:r>
              <w:rPr>
                <w:b/>
                <w:i w:val="0"/>
                <w:sz w:val="17"/>
              </w:rPr>
              <w:t>70.0</w:t>
            </w:r>
          </w:p>
        </w:tc>
        <w:tc>
          <w:tcPr>
            <w:tcW w:type="dxa" w:w="1474"/>
          </w:tcPr>
          <w:p>
            <w:pPr>
              <w:spacing w:before="40" w:after="40"/>
            </w:pPr>
            <w:r/>
            <w:r>
              <w:rPr>
                <w:b/>
                <w:i w:val="0"/>
                <w:sz w:val="17"/>
              </w:rPr>
              <w:t>74–82</w:t>
            </w:r>
          </w:p>
        </w:tc>
        <w:tc>
          <w:tcPr>
            <w:tcW w:type="dxa" w:w="1587"/>
          </w:tcPr>
          <w:p>
            <w:pPr>
              <w:spacing w:before="40" w:after="40"/>
            </w:pPr>
            <w:r/>
            <w:r>
              <w:rPr>
                <w:b/>
                <w:i w:val="0"/>
                <w:sz w:val="17"/>
              </w:rPr>
              <w:t>84–88</w:t>
            </w:r>
          </w:p>
        </w:tc>
      </w:tr>
    </w:tbl>
    <w:p>
      <w:pPr>
        <w:spacing w:after="0"/>
      </w:pPr>
    </w:p>
    <w:p>
      <w:pPr>
        <w:spacing w:after="160"/>
      </w:pPr>
      <w:r>
        <w:rPr>
          <w:b w:val="0"/>
          <w:i/>
          <w:color w:val="5A5A5A"/>
          <w:sz w:val="17"/>
        </w:rPr>
        <w:t>These are my estimates against the published criteria, not a prediction of what an assessor will do. Ranges rather than single figures, because the same text can move several points depending on how closely one reader cross-checks fields against each other.</w:t>
      </w:r>
    </w:p>
    <w:p>
      <w:pPr>
        <w:pStyle w:val="Heading2"/>
      </w:pPr>
      <w:r>
        <w:t>1. Relevance, rationale and impact — 23–25 of 30</w:t>
      </w:r>
    </w:p>
    <w:p>
      <w:pPr>
        <w:pStyle w:val="Heading4"/>
      </w:pPr>
      <w:r>
        <w:t>What earns the points</w:t>
      </w:r>
    </w:p>
    <w:p>
      <w:pPr>
        <w:jc w:val="both"/>
      </w:pPr>
      <w:r>
        <w:rPr>
          <w:b w:val="0"/>
          <w:i w:val="0"/>
        </w:rPr>
        <w:t xml:space="preserve">The needs case is built on primary evidence you collected yourselves: 153 responses from 12 of your 14 localities, 96 of them from the exact age group, reported with real figures rather than impressions. Most KA152 applications assert a need; this one measures it. It is then triangulated against the Flash Eurobarometer EP013EP and Greek DESI and national data, and the two datasets are read together to produce a diagnosis — </w:t>
      </w:r>
      <w:r>
        <w:rPr>
          <w:b/>
          <w:i w:val="0"/>
        </w:rPr>
        <w:t>untrained confidence rather than ignorance</w:t>
      </w:r>
      <w:r>
        <w:rPr>
          <w:b w:val="0"/>
          <w:i w:val="0"/>
        </w:rPr>
        <w:t xml:space="preserve"> — which then drives the method. That need→analysis→method chain is precisely what this criterion rewards, and it is the strongest thing in the application.</w:t>
      </w:r>
    </w:p>
    <w:p>
      <w:pPr>
        <w:jc w:val="both"/>
      </w:pPr>
      <w:r>
        <w:rPr>
          <w:b w:val="0"/>
          <w:i w:val="0"/>
        </w:rPr>
        <w:t xml:space="preserve">The participant profile is specific and defensible: 13 of 21 with declared barriers, 16 of 21 on a first European mobility, three peripheral territories whose shared structural condition is argued rather than assumed. The impact section names what happens beyond the room — four local initiatives, at least 80 young people, a tested toolkit, three reusable instruments — and then states its own limits: </w:t>
      </w:r>
      <w:r>
        <w:rPr>
          <w:b w:val="0"/>
          <w:i/>
        </w:rPr>
        <w:t>“Twenty-one participants will not move a county-level statistic.”</w:t>
      </w:r>
      <w:r>
        <w:rPr>
          <w:b w:val="0"/>
          <w:i w:val="0"/>
        </w:rPr>
        <w:t xml:space="preserve"> Assessors read a great many applications that promise to transform a region; a stated limit next to evidenced claims reads as competence, not modesty.</w:t>
      </w:r>
    </w:p>
    <w:p>
      <w:pPr>
        <w:pStyle w:val="Heading4"/>
      </w:pPr>
      <w:r>
        <w:t>What costs points</w:t>
      </w:r>
    </w:p>
    <w:p>
      <w:pPr>
        <w:pStyle w:val="ListBullet"/>
        <w:spacing w:after="40"/>
        <w:ind w:left="340"/>
      </w:pPr>
      <w:r>
        <w:rPr>
          <w:b/>
          <w:i w:val="0"/>
        </w:rPr>
        <w:t>The declared barrier types contradict the rationale.</w:t>
      </w:r>
      <w:r>
        <w:rPr>
          <w:b w:val="0"/>
          <w:i w:val="0"/>
        </w:rPr>
        <w:t xml:space="preserve"> The form declares geographical, economic and social. The Erasmus-objectives field still says measures answer “the linguistic one” and “the social and </w:t>
      </w:r>
      <w:r>
        <w:rPr>
          <w:b/>
          <w:i w:val="0"/>
        </w:rPr>
        <w:t>educational</w:t>
      </w:r>
      <w:r>
        <w:rPr>
          <w:b w:val="0"/>
          <w:i w:val="0"/>
        </w:rPr>
        <w:t xml:space="preserve"> ones”. A reader who has both pages open sees two different lists.</w:t>
      </w:r>
    </w:p>
    <w:p>
      <w:pPr>
        <w:pStyle w:val="ListBullet"/>
        <w:spacing w:after="40"/>
        <w:ind w:left="340"/>
      </w:pPr>
      <w:r>
        <w:rPr>
          <w:b/>
          <w:i w:val="0"/>
        </w:rPr>
        <w:t>The three topics do not match the argument.</w:t>
      </w:r>
      <w:r>
        <w:rPr>
          <w:b w:val="0"/>
          <w:i w:val="0"/>
        </w:rPr>
        <w:t xml:space="preserve"> You argue at length for democratic participation and for inclusion of rural and island young people, then select Digital literacy, Digital safety and data protection, and Media literacy. The second of those is the weakest fit; nothing in the application is about data protection as a subject.</w:t>
      </w:r>
    </w:p>
    <w:p>
      <w:pPr>
        <w:pStyle w:val="ListBullet"/>
        <w:spacing w:after="40"/>
        <w:ind w:left="340"/>
      </w:pPr>
      <w:r>
        <w:rPr>
          <w:b/>
          <w:i w:val="0"/>
        </w:rPr>
        <w:t>Stale figures from the 20-participant and four-country versions survive.</w:t>
      </w:r>
      <w:r>
        <w:rPr>
          <w:b w:val="0"/>
          <w:i w:val="0"/>
        </w:rPr>
        <w:t xml:space="preserve"> “target 15 of 20”, “target 12 of 20”, “at least 60 applications”, “all </w:t>
      </w:r>
      <w:r>
        <w:rPr>
          <w:b/>
          <w:i w:val="0"/>
        </w:rPr>
        <w:t>four</w:t>
      </w:r>
      <w:r>
        <w:rPr>
          <w:b w:val="0"/>
          <w:i w:val="0"/>
        </w:rPr>
        <w:t xml:space="preserve"> organisations”, “involve </w:t>
      </w:r>
      <w:r>
        <w:rPr>
          <w:b/>
          <w:i w:val="0"/>
        </w:rPr>
        <w:t>the twenty</w:t>
      </w:r>
      <w:r>
        <w:rPr>
          <w:b w:val="0"/>
          <w:i w:val="0"/>
        </w:rPr>
        <w:t xml:space="preserve"> as peer trainers”. Individually small; together they tell an assessor the consortium and the numbers changed late and the text was not swept. That costs more than the arithmetic does, because it invites the question of what else was not updated.</w:t>
      </w:r>
    </w:p>
    <w:p>
      <w:pPr>
        <w:pStyle w:val="Heading2"/>
      </w:pPr>
      <w:r>
        <w:t>2. Quality of the project design — 29–32 of 40</w:t>
      </w:r>
    </w:p>
    <w:p>
      <w:pPr>
        <w:pStyle w:val="Heading4"/>
      </w:pPr>
      <w:r>
        <w:t>What earns the points</w:t>
      </w:r>
    </w:p>
    <w:p>
      <w:pPr>
        <w:jc w:val="both"/>
      </w:pPr>
      <w:r>
        <w:rPr>
          <w:b w:val="0"/>
          <w:i w:val="0"/>
        </w:rPr>
        <w:t xml:space="preserve">This is where the application is furthest above the field. Preparation runs four months, not four weeks, and it is sequenced: baseline test in month 2 </w:t>
      </w:r>
      <w:r>
        <w:rPr>
          <w:b w:val="0"/>
          <w:i/>
        </w:rPr>
        <w:t>before</w:t>
      </w:r>
      <w:r>
        <w:rPr>
          <w:b w:val="0"/>
          <w:i w:val="0"/>
        </w:rPr>
        <w:t xml:space="preserve"> any learning activity, four joint online sessions in mixed national composition so the August teams have already met, a four-language glossary built with the participants, a parents’ meeting in each country in the local language before consents are signed, a two-day group leaders’ briefing. The preparatory visit is justified on four grounds and now has its own activity, its own programme and its own annex sheet.</w:t>
      </w:r>
    </w:p>
    <w:p>
      <w:pPr>
        <w:jc w:val="both"/>
      </w:pPr>
      <w:r>
        <w:rPr>
          <w:b w:val="0"/>
          <w:i w:val="0"/>
        </w:rPr>
        <w:t>Participants are involved at every stage in ways that can be checked rather than claimed: the subject came from the survey and was validated back to young people before submission; they choose the cases analysed on Day 2; documentation roles are assigned in month 3; the content desk rotates by national group during the week; the host team of the day means all twenty-one lead once; they design and lead the four local initiatives; they close the project as evaluators in month 17.</w:t>
      </w:r>
    </w:p>
    <w:p>
      <w:pPr>
        <w:jc w:val="both"/>
      </w:pPr>
      <w:r>
        <w:rPr>
          <w:b w:val="0"/>
          <w:i w:val="0"/>
        </w:rPr>
        <w:t xml:space="preserve">The learning-outcomes architecture is the single strongest design element. Three instruments exist </w:t>
      </w:r>
      <w:r>
        <w:rPr>
          <w:b/>
          <w:i w:val="0"/>
        </w:rPr>
        <w:t>in writing before submission</w:t>
      </w:r>
      <w:r>
        <w:rPr>
          <w:b w:val="0"/>
          <w:i w:val="0"/>
        </w:rPr>
        <w:t xml:space="preserve"> — a fifteen-item practical test in two equivalent forms, an observation grid scoring four named techniques 0–2 with six calibrated observers and ten of twenty-one double-scored, and a ten-minute beneficiary exercise — with a piloting rule, a recalibration rule fixed in advance, and an observer calibration whose outcome is decided before any participant result is seen. Youthpass runs as a process from Day 1 with a learning diary and a sealed Day 1 artefact returned on Day 7. Very few KA152 applications can show any of this.</w:t>
      </w:r>
    </w:p>
    <w:p>
      <w:pPr>
        <w:jc w:val="both"/>
      </w:pPr>
      <w:r>
        <w:rPr>
          <w:b w:val="0"/>
          <w:i w:val="0"/>
        </w:rPr>
        <w:t>Safety and protection is comprehensive and specific: written venue risk assessment verified on site before contracting, evacuation drill on arrival, room allocation with minors only with minors and leaders on the same floors, night-duty rota, safeguarding focal point deliberately outside the facilitation chain, sensitive-content protocol with a stated right to leave a session, central insurance, emergency protocol, GDPR handling and two-person review before anything involving a minor is published.</w:t>
      </w:r>
    </w:p>
    <w:p>
      <w:pPr>
        <w:jc w:val="both"/>
      </w:pPr>
      <w:r>
        <w:rPr>
          <w:b w:val="0"/>
          <w:i w:val="0"/>
        </w:rPr>
        <w:t>The annexed timetable does its job: every session carries its objective, its non-formal method, the competences it builds, its output and the person responsible, across nine day blocks plus the three-day preparatory visit. It also resolves the session codes cited elsewhere in the form.</w:t>
      </w:r>
    </w:p>
    <w:p>
      <w:pPr>
        <w:pStyle w:val="Heading4"/>
      </w:pPr>
      <w:r>
        <w:t>What costs points</w:t>
      </w:r>
    </w:p>
    <w:p>
      <w:pPr>
        <w:pStyle w:val="ListBullet"/>
        <w:spacing w:after="40"/>
        <w:ind w:left="340"/>
      </w:pPr>
      <w:r>
        <w:rPr>
          <w:b/>
          <w:i w:val="0"/>
        </w:rPr>
        <w:t>The learning-outcomes field opens by naming “the eight European key competences” and then covers six.</w:t>
      </w:r>
      <w:r>
        <w:rPr>
          <w:b w:val="0"/>
          <w:i w:val="0"/>
        </w:rPr>
        <w:t xml:space="preserve"> Entrepreneurship (KC7) and mathematical/technological (KC3) are missing. This is the field that carries the most design points, and the inconsistency is inside a single paragraph of itself.</w:t>
      </w:r>
    </w:p>
    <w:p>
      <w:pPr>
        <w:pStyle w:val="ListBullet"/>
        <w:spacing w:after="40"/>
        <w:ind w:left="340"/>
      </w:pPr>
      <w:r>
        <w:rPr>
          <w:b/>
          <w:i w:val="0"/>
        </w:rPr>
        <w:t>“The competence matrix above is the reference document for the whole process” points at nothing</w:t>
      </w:r>
      <w:r>
        <w:rPr>
          <w:b w:val="0"/>
          <w:i w:val="0"/>
        </w:rPr>
        <w:t xml:space="preserve"> — the matrix was removed when the field became prose. An assessor looking for the document that ties competences to sessions and evidence finds a dangling reference. It exists in the annex; the form does not say so.</w:t>
      </w:r>
    </w:p>
    <w:p>
      <w:pPr>
        <w:pStyle w:val="ListBullet"/>
        <w:spacing w:after="40"/>
        <w:ind w:left="340"/>
      </w:pPr>
      <w:r>
        <w:rPr>
          <w:b/>
          <w:i w:val="0"/>
        </w:rPr>
        <w:t>The measures field no longer answers “accompanying persons”</w:t>
      </w:r>
      <w:r>
        <w:rPr>
          <w:b w:val="0"/>
          <w:i w:val="0"/>
        </w:rPr>
        <w:t>, which is the first example the question itself offers. The six-adults-for-twenty-one-minors reasoning and the Greek flow’s second adult were dropped from it.</w:t>
      </w:r>
    </w:p>
    <w:p>
      <w:pPr>
        <w:pStyle w:val="ListBullet"/>
        <w:spacing w:after="40"/>
        <w:ind w:left="340"/>
      </w:pPr>
      <w:r>
        <w:rPr>
          <w:b/>
          <w:i w:val="0"/>
        </w:rPr>
        <w:t>Inclusion support for participants is promised in the text and is zero in the budget.</w:t>
      </w:r>
      <w:r>
        <w:rPr>
          <w:b w:val="0"/>
          <w:i w:val="0"/>
        </w:rPr>
        <w:t xml:space="preserve"> The measures field says door-to-door transport is paid “through the inclusion support category on a dedicated budget line”; all three flows declare 0.00 with an empty justification. A measure with no money behind it is the kind of thing this criterion is designed to catch.</w:t>
      </w:r>
    </w:p>
    <w:p>
      <w:pPr>
        <w:pStyle w:val="ListBullet"/>
        <w:spacing w:after="40"/>
        <w:ind w:left="340"/>
      </w:pPr>
      <w:r>
        <w:rPr>
          <w:b/>
          <w:i w:val="0"/>
        </w:rPr>
        <w:t>The group-leaders answer begins “Four, all 18 or over, experienced in youth work…” with no subject</w:t>
      </w:r>
      <w:r>
        <w:rPr>
          <w:b w:val="0"/>
          <w:i w:val="0"/>
        </w:rPr>
        <w:t>, straight after a full stop with no space. It is the answer about who supervises twenty-one minors, and it is the least legible sentence in the application.</w:t>
      </w:r>
    </w:p>
    <w:p>
      <w:pPr>
        <w:pStyle w:val="ListBullet"/>
        <w:spacing w:after="40"/>
        <w:ind w:left="340"/>
      </w:pPr>
      <w:r>
        <w:rPr>
          <w:b/>
          <w:i w:val="0"/>
        </w:rPr>
        <w:t>Travel days contradict the programme.</w:t>
      </w:r>
      <w:r>
        <w:rPr>
          <w:b w:val="0"/>
          <w:i w:val="0"/>
        </w:rPr>
        <w:t xml:space="preserve"> The basic-elements field and the annex both say 8 and 16 August are travel days for everyone; the Romanian flow declares 0.</w:t>
      </w:r>
    </w:p>
    <w:p>
      <w:r>
        <w:br w:type="page"/>
      </w:r>
    </w:p>
    <w:p>
      <w:pPr>
        <w:pStyle w:val="Heading2"/>
      </w:pPr>
      <w:r>
        <w:t>3. Quality of the project management — 22–25 of 30</w:t>
      </w:r>
    </w:p>
    <w:p>
      <w:pPr>
        <w:pStyle w:val="Heading4"/>
      </w:pPr>
      <w:r>
        <w:t>What earns the points</w:t>
      </w:r>
    </w:p>
    <w:p>
      <w:pPr>
        <w:jc w:val="both"/>
      </w:pPr>
      <w:r>
        <w:rPr>
          <w:b w:val="0"/>
          <w:i w:val="0"/>
        </w:rPr>
        <w:t xml:space="preserve">Roles are separated by name and with a reason, not by title: the safeguarding lead sits outside the facilitation chain </w:t>
      </w:r>
      <w:r>
        <w:rPr>
          <w:b w:val="0"/>
          <w:i/>
        </w:rPr>
        <w:t>so that a participant can raise a concern about a facilitator</w:t>
      </w:r>
      <w:r>
        <w:rPr>
          <w:b w:val="0"/>
          <w:i w:val="0"/>
        </w:rPr>
        <w:t>. The partnership agreement is signed in month 1 before any expenditure and carries deliverables with dates, budget shares, transfer conditions, safeguarding obligations and what happens if a partner does not deliver. Escalation is defined in advance and proportionate, payments are staged against deliverables rather than the calendar, and the action log is reviewed line by line at every meeting.</w:t>
      </w:r>
    </w:p>
    <w:p>
      <w:pPr>
        <w:jc w:val="both"/>
      </w:pPr>
      <w:r>
        <w:rPr>
          <w:b w:val="0"/>
          <w:i w:val="0"/>
        </w:rPr>
        <w:t xml:space="preserve">Evaluation is the strongest management element, and it is honest in a way assessors notice: instruments built so that failure is visible, a participant who misses one form of the test reported as excluded rather than dropped from the denominator, and an explicit refusal to call fifteen items over twenty-one participants a validated psychometric instrument. Dissemination names five audiences with a channel, an owner and a countable target each, adds the partners’ own channels with a posting rhythm and a fifteen-post commitment, and local media with a six-item target. Sustainability names four things that stay and, in the partnership agreement, </w:t>
      </w:r>
      <w:r>
        <w:rPr>
          <w:b w:val="0"/>
          <w:i/>
        </w:rPr>
        <w:t>a person</w:t>
      </w:r>
      <w:r>
        <w:rPr>
          <w:b w:val="0"/>
          <w:i w:val="0"/>
        </w:rPr>
        <w:t xml:space="preserve"> responsible for each — “a name, not a department”.</w:t>
      </w:r>
    </w:p>
    <w:p>
      <w:pPr>
        <w:jc w:val="both"/>
      </w:pPr>
      <w:r>
        <w:rPr>
          <w:b w:val="0"/>
          <w:i w:val="0"/>
        </w:rPr>
        <w:t>The risk treatment is concrete where it matters: visas are identified as the principal risk, with the Schengen position stated correctly, the procedure starting in month 3, and reserve participants prepared with complete files.</w:t>
      </w:r>
    </w:p>
    <w:p>
      <w:pPr>
        <w:pStyle w:val="Heading4"/>
      </w:pPr>
      <w:r>
        <w:t>What costs points</w:t>
      </w:r>
    </w:p>
    <w:p>
      <w:pPr>
        <w:pStyle w:val="ListBullet"/>
        <w:spacing w:after="40"/>
        <w:ind w:left="340"/>
      </w:pPr>
      <w:r>
        <w:rPr>
          <w:b/>
          <w:i w:val="0"/>
        </w:rPr>
        <w:t>The preparatory visit is three different sizes in three places.</w:t>
      </w:r>
      <w:r>
        <w:rPr>
          <w:b w:val="0"/>
          <w:i w:val="0"/>
        </w:rPr>
        <w:t xml:space="preserve"> The activity header and the flows declare </w:t>
      </w:r>
      <w:r>
        <w:rPr>
          <w:b/>
          <w:i w:val="0"/>
        </w:rPr>
        <w:t>4 persons / 2,720.00</w:t>
      </w:r>
      <w:r>
        <w:rPr>
          <w:b w:val="0"/>
          <w:i w:val="0"/>
        </w:rPr>
        <w:t xml:space="preserve"> in two flows. The narrative says “</w:t>
      </w:r>
      <w:r>
        <w:rPr>
          <w:b/>
          <w:i w:val="0"/>
        </w:rPr>
        <w:t>Six</w:t>
      </w:r>
      <w:r>
        <w:rPr>
          <w:b w:val="0"/>
          <w:i w:val="0"/>
        </w:rPr>
        <w:t xml:space="preserve"> people travel or take part on site, two from each of the three organisations” and “two of the </w:t>
      </w:r>
      <w:r>
        <w:rPr>
          <w:b/>
          <w:i w:val="0"/>
        </w:rPr>
        <w:t>six</w:t>
      </w:r>
      <w:r>
        <w:rPr>
          <w:b w:val="0"/>
          <w:i w:val="0"/>
        </w:rPr>
        <w:t xml:space="preserve"> places”. The annex says </w:t>
      </w:r>
      <w:r>
        <w:rPr>
          <w:b/>
          <w:i w:val="0"/>
        </w:rPr>
        <w:t>6 persons</w:t>
      </w:r>
      <w:r>
        <w:rPr>
          <w:b w:val="0"/>
          <w:i w:val="0"/>
        </w:rPr>
        <w:t xml:space="preserve">. On top of that the narrative now lists </w:t>
      </w:r>
      <w:r>
        <w:rPr>
          <w:b/>
          <w:i w:val="0"/>
        </w:rPr>
        <w:t>three</w:t>
      </w:r>
      <w:r>
        <w:rPr>
          <w:b w:val="0"/>
          <w:i w:val="0"/>
        </w:rPr>
        <w:t xml:space="preserve"> people for GGD — the facilitator, M. Talha Serenli, and a young person — and then says in the same paragraph that the Turkish group leader takes part </w:t>
      </w:r>
      <w:r>
        <w:rPr>
          <w:b/>
          <w:i w:val="0"/>
        </w:rPr>
        <w:t>online</w:t>
      </w:r>
      <w:r>
        <w:rPr>
          <w:b w:val="0"/>
          <w:i w:val="0"/>
        </w:rPr>
        <w:t>. This is the most visible inconsistency in the application and it sits in a field an assessor reads closely, because it is a funded activity.</w:t>
      </w:r>
    </w:p>
    <w:p>
      <w:pPr>
        <w:pStyle w:val="ListBullet"/>
        <w:spacing w:after="40"/>
        <w:ind w:left="340"/>
      </w:pPr>
      <w:r>
        <w:rPr>
          <w:b/>
          <w:i w:val="0"/>
        </w:rPr>
        <w:t>“The budget is built on the green rates for all three flows”</w:t>
      </w:r>
      <w:r>
        <w:rPr>
          <w:b w:val="0"/>
          <w:i w:val="0"/>
        </w:rPr>
        <w:t xml:space="preserve"> — the Turkish flow is costed at 309 EUR, the non-green rate. Green is 417.</w:t>
      </w:r>
    </w:p>
    <w:p>
      <w:pPr>
        <w:pStyle w:val="ListBullet"/>
        <w:spacing w:after="40"/>
        <w:ind w:left="340"/>
      </w:pPr>
      <w:r>
        <w:rPr>
          <w:b/>
          <w:i w:val="0"/>
        </w:rPr>
        <w:t>“Four eligible travel days” for the Greek flow</w:t>
      </w:r>
      <w:r>
        <w:rPr>
          <w:b w:val="0"/>
          <w:i w:val="0"/>
        </w:rPr>
        <w:t xml:space="preserve"> appears twice in the narrative; the flow declares 2.</w:t>
      </w:r>
    </w:p>
    <w:p>
      <w:pPr>
        <w:pStyle w:val="ListBullet"/>
        <w:spacing w:after="40"/>
        <w:ind w:left="340"/>
      </w:pPr>
      <w:r>
        <w:rPr>
          <w:b/>
          <w:i w:val="0"/>
        </w:rPr>
        <w:t>The financial guarantee the National Agency has requested is nowhere addressed</w:t>
      </w:r>
      <w:r>
        <w:rPr>
          <w:b w:val="0"/>
          <w:i w:val="0"/>
        </w:rPr>
        <w:t xml:space="preserve"> in the application.</w:t>
      </w:r>
    </w:p>
    <w:p>
      <w:pPr>
        <w:pStyle w:val="ListBullet"/>
        <w:spacing w:after="40"/>
        <w:ind w:left="340"/>
      </w:pPr>
      <w:r>
        <w:rPr>
          <w:b/>
          <w:i w:val="0"/>
        </w:rPr>
        <w:t>Typographic accumulation.</w:t>
      </w:r>
      <w:r>
        <w:rPr>
          <w:b w:val="0"/>
          <w:i w:val="0"/>
        </w:rPr>
        <w:t xml:space="preserve"> 17 missing spaces after full stops, “All twenty one participants”, “mixed teams ,” with the number dropped, “LEADERnetwork”, “O1 :”, and an Impact field whose last sentence has no full stop. No single one matters. Together they read as a document assembled at speed, and this is the criterion where that impression is charged.</w:t>
      </w:r>
    </w:p>
    <w:p>
      <w:pPr>
        <w:pStyle w:val="ListBullet"/>
        <w:spacing w:after="40"/>
        <w:ind w:left="340"/>
      </w:pPr>
      <w:r>
        <w:rPr>
          <w:b/>
          <w:i w:val="0"/>
        </w:rPr>
        <w:t>GGD’s accession form may be unsigned</w:t>
      </w:r>
      <w:r>
        <w:rPr>
          <w:b w:val="0"/>
          <w:i w:val="0"/>
        </w:rPr>
        <w:t xml:space="preserve"> — the filename is “ACF -accession forms_E10309307 (1).pdf” where KEA’s reads “_signed”. Worth opening before submission.</w:t>
      </w:r>
    </w:p>
    <w:p>
      <w:pPr>
        <w:pStyle w:val="Heading2"/>
      </w:pPr>
      <w:r>
        <w:t>The fix list, in order of points per minute spent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454"/>
            <w:shd w:val="clear" w:color="auto" w:fill="E8EEF7"/>
          </w:tcPr>
          <w:p>
            <w:pPr>
              <w:spacing w:before="40" w:after="40"/>
            </w:pPr>
            <w:r/>
            <w:r>
              <w:rPr>
                <w:b/>
                <w:i w:val="0"/>
                <w:color w:val="003D82"/>
                <w:sz w:val="17"/>
              </w:rPr>
              <w:t>#</w:t>
            </w:r>
          </w:p>
        </w:tc>
        <w:tc>
          <w:tcPr>
            <w:tcW w:type="dxa" w:w="4195"/>
            <w:shd w:val="clear" w:color="auto" w:fill="E8EEF7"/>
          </w:tcPr>
          <w:p>
            <w:pPr>
              <w:spacing w:before="40" w:after="40"/>
            </w:pPr>
            <w:r/>
            <w:r>
              <w:rPr>
                <w:b/>
                <w:i w:val="0"/>
                <w:color w:val="003D82"/>
                <w:sz w:val="17"/>
              </w:rPr>
              <w:t>Fix</w:t>
            </w:r>
          </w:p>
        </w:tc>
        <w:tc>
          <w:tcPr>
            <w:tcW w:type="dxa" w:w="2494"/>
            <w:shd w:val="clear" w:color="auto" w:fill="E8EEF7"/>
          </w:tcPr>
          <w:p>
            <w:pPr>
              <w:spacing w:before="40" w:after="40"/>
            </w:pPr>
            <w:r/>
            <w:r>
              <w:rPr>
                <w:b/>
                <w:i w:val="0"/>
                <w:color w:val="003D82"/>
                <w:sz w:val="17"/>
              </w:rPr>
              <w:t>Where</w:t>
            </w:r>
          </w:p>
        </w:tc>
        <w:tc>
          <w:tcPr>
            <w:tcW w:type="dxa" w:w="1928"/>
            <w:shd w:val="clear" w:color="auto" w:fill="E8EEF7"/>
          </w:tcPr>
          <w:p>
            <w:pPr>
              <w:spacing w:before="40" w:after="40"/>
            </w:pPr>
            <w:r/>
            <w:r>
              <w:rPr>
                <w:b/>
                <w:i w:val="0"/>
                <w:color w:val="003D82"/>
                <w:sz w:val="17"/>
              </w:rPr>
              <w:t>Criterion</w:t>
            </w:r>
          </w:p>
        </w:tc>
      </w:tr>
      <w:tr>
        <w:tc>
          <w:tcPr>
            <w:tcW w:type="dxa" w:w="454"/>
          </w:tcPr>
          <w:p>
            <w:pPr>
              <w:spacing w:before="40" w:after="40"/>
            </w:pPr>
            <w:r/>
            <w:r>
              <w:rPr>
                <w:b w:val="0"/>
                <w:i w:val="0"/>
                <w:sz w:val="17"/>
              </w:rPr>
              <w:t>1</w:t>
            </w:r>
          </w:p>
        </w:tc>
        <w:tc>
          <w:tcPr>
            <w:tcW w:type="dxa" w:w="4195"/>
          </w:tcPr>
          <w:p>
            <w:pPr>
              <w:spacing w:before="40" w:after="40"/>
            </w:pPr>
            <w:r/>
            <w:r>
              <w:rPr>
                <w:b w:val="0"/>
                <w:i w:val="0"/>
                <w:sz w:val="17"/>
              </w:rPr>
              <w:t>Make the preparatory visit one number everywhere. The form says 4 persons and 2,720.00, which is the defensible reading — the host’s own staff travel nowhere. Rewrite the narrative for two partners × two people, remove the third GGD name, and correct the annex.</w:t>
            </w:r>
          </w:p>
        </w:tc>
        <w:tc>
          <w:tcPr>
            <w:tcW w:type="dxa" w:w="2494"/>
          </w:tcPr>
          <w:p>
            <w:pPr>
              <w:spacing w:before="40" w:after="40"/>
            </w:pPr>
            <w:r/>
            <w:r>
              <w:rPr>
                <w:b w:val="0"/>
                <w:i w:val="0"/>
                <w:sz w:val="17"/>
              </w:rPr>
              <w:t>PREPV02 narrative + annex</w:t>
            </w:r>
          </w:p>
        </w:tc>
        <w:tc>
          <w:tcPr>
            <w:tcW w:type="dxa" w:w="1928"/>
          </w:tcPr>
          <w:p>
            <w:pPr>
              <w:spacing w:before="40" w:after="40"/>
            </w:pPr>
            <w:r/>
            <w:r>
              <w:rPr>
                <w:b w:val="0"/>
                <w:i w:val="0"/>
                <w:sz w:val="17"/>
              </w:rPr>
              <w:t>Management</w:t>
            </w:r>
          </w:p>
        </w:tc>
      </w:tr>
      <w:tr>
        <w:tc>
          <w:tcPr>
            <w:tcW w:type="dxa" w:w="454"/>
          </w:tcPr>
          <w:p>
            <w:pPr>
              <w:spacing w:before="40" w:after="40"/>
            </w:pPr>
            <w:r/>
            <w:r>
              <w:rPr>
                <w:b w:val="0"/>
                <w:i w:val="0"/>
                <w:sz w:val="17"/>
              </w:rPr>
              <w:t>2</w:t>
            </w:r>
          </w:p>
        </w:tc>
        <w:tc>
          <w:tcPr>
            <w:tcW w:type="dxa" w:w="4195"/>
          </w:tcPr>
          <w:p>
            <w:pPr>
              <w:spacing w:before="40" w:after="40"/>
            </w:pPr>
            <w:r/>
            <w:r>
              <w:rPr>
                <w:b w:val="0"/>
                <w:i w:val="0"/>
                <w:sz w:val="17"/>
              </w:rPr>
              <w:t>Sweep the stale figures: 15 of 20 → 16 of 21; 12 of 20 → 13 of 21; 60 applications → 63; “all four organisations” → three; “the twenty” → twenty-one.</w:t>
            </w:r>
          </w:p>
        </w:tc>
        <w:tc>
          <w:tcPr>
            <w:tcW w:type="dxa" w:w="2494"/>
          </w:tcPr>
          <w:p>
            <w:pPr>
              <w:spacing w:before="40" w:after="40"/>
            </w:pPr>
            <w:r/>
            <w:r>
              <w:rPr>
                <w:b w:val="0"/>
                <w:i w:val="0"/>
                <w:sz w:val="17"/>
              </w:rPr>
              <w:t>Background of participants; role of participants</w:t>
            </w:r>
          </w:p>
        </w:tc>
        <w:tc>
          <w:tcPr>
            <w:tcW w:type="dxa" w:w="1928"/>
          </w:tcPr>
          <w:p>
            <w:pPr>
              <w:spacing w:before="40" w:after="40"/>
            </w:pPr>
            <w:r/>
            <w:r>
              <w:rPr>
                <w:b w:val="0"/>
                <w:i w:val="0"/>
                <w:sz w:val="17"/>
              </w:rPr>
              <w:t>Relevance + design</w:t>
            </w:r>
          </w:p>
        </w:tc>
      </w:tr>
      <w:tr>
        <w:tc>
          <w:tcPr>
            <w:tcW w:type="dxa" w:w="454"/>
          </w:tcPr>
          <w:p>
            <w:pPr>
              <w:spacing w:before="40" w:after="40"/>
            </w:pPr>
            <w:r/>
            <w:r>
              <w:rPr>
                <w:b w:val="0"/>
                <w:i w:val="0"/>
                <w:sz w:val="17"/>
              </w:rPr>
              <w:t>3</w:t>
            </w:r>
          </w:p>
        </w:tc>
        <w:tc>
          <w:tcPr>
            <w:tcW w:type="dxa" w:w="4195"/>
          </w:tcPr>
          <w:p>
            <w:pPr>
              <w:spacing w:before="40" w:after="40"/>
            </w:pPr>
            <w:r/>
            <w:r>
              <w:rPr>
                <w:b w:val="0"/>
                <w:i w:val="0"/>
                <w:sz w:val="17"/>
              </w:rPr>
              <w:t>Restore the KC7 and KC3 sentence, or change “the eight key competences” to name the six actually covered.</w:t>
            </w:r>
          </w:p>
        </w:tc>
        <w:tc>
          <w:tcPr>
            <w:tcW w:type="dxa" w:w="2494"/>
          </w:tcPr>
          <w:p>
            <w:pPr>
              <w:spacing w:before="40" w:after="40"/>
            </w:pPr>
            <w:r/>
            <w:r>
              <w:rPr>
                <w:b w:val="0"/>
                <w:i w:val="0"/>
                <w:sz w:val="17"/>
              </w:rPr>
              <w:t>Learning outcomes</w:t>
            </w:r>
          </w:p>
        </w:tc>
        <w:tc>
          <w:tcPr>
            <w:tcW w:type="dxa" w:w="1928"/>
          </w:tcPr>
          <w:p>
            <w:pPr>
              <w:spacing w:before="40" w:after="40"/>
            </w:pPr>
            <w:r/>
            <w:r>
              <w:rPr>
                <w:b w:val="0"/>
                <w:i w:val="0"/>
                <w:sz w:val="17"/>
              </w:rPr>
              <w:t>Design</w:t>
            </w:r>
          </w:p>
        </w:tc>
      </w:tr>
      <w:tr>
        <w:tc>
          <w:tcPr>
            <w:tcW w:type="dxa" w:w="454"/>
          </w:tcPr>
          <w:p>
            <w:pPr>
              <w:spacing w:before="40" w:after="40"/>
            </w:pPr>
            <w:r/>
            <w:r>
              <w:rPr>
                <w:b w:val="0"/>
                <w:i w:val="0"/>
                <w:sz w:val="17"/>
              </w:rPr>
              <w:t>4</w:t>
            </w:r>
          </w:p>
        </w:tc>
        <w:tc>
          <w:tcPr>
            <w:tcW w:type="dxa" w:w="4195"/>
          </w:tcPr>
          <w:p>
            <w:pPr>
              <w:spacing w:before="40" w:after="40"/>
            </w:pPr>
            <w:r/>
            <w:r>
              <w:rPr>
                <w:b w:val="0"/>
                <w:i w:val="0"/>
                <w:sz w:val="17"/>
              </w:rPr>
              <w:t>Decide the inclusion support for participants: either request it with a justification, or delete the two sentences that promise it.</w:t>
            </w:r>
          </w:p>
        </w:tc>
        <w:tc>
          <w:tcPr>
            <w:tcW w:type="dxa" w:w="2494"/>
          </w:tcPr>
          <w:p>
            <w:pPr>
              <w:spacing w:before="40" w:after="40"/>
            </w:pPr>
            <w:r/>
            <w:r>
              <w:rPr>
                <w:b w:val="0"/>
                <w:i w:val="0"/>
                <w:sz w:val="17"/>
              </w:rPr>
              <w:t>Measures field + flows</w:t>
            </w:r>
          </w:p>
        </w:tc>
        <w:tc>
          <w:tcPr>
            <w:tcW w:type="dxa" w:w="1928"/>
          </w:tcPr>
          <w:p>
            <w:pPr>
              <w:spacing w:before="40" w:after="40"/>
            </w:pPr>
            <w:r/>
            <w:r>
              <w:rPr>
                <w:b w:val="0"/>
                <w:i w:val="0"/>
                <w:sz w:val="17"/>
              </w:rPr>
              <w:t>Design + management</w:t>
            </w:r>
          </w:p>
        </w:tc>
      </w:tr>
      <w:tr>
        <w:tc>
          <w:tcPr>
            <w:tcW w:type="dxa" w:w="454"/>
          </w:tcPr>
          <w:p>
            <w:pPr>
              <w:spacing w:before="40" w:after="40"/>
            </w:pPr>
            <w:r/>
            <w:r>
              <w:rPr>
                <w:b w:val="0"/>
                <w:i w:val="0"/>
                <w:sz w:val="17"/>
              </w:rPr>
              <w:t>5</w:t>
            </w:r>
          </w:p>
        </w:tc>
        <w:tc>
          <w:tcPr>
            <w:tcW w:type="dxa" w:w="4195"/>
          </w:tcPr>
          <w:p>
            <w:pPr>
              <w:spacing w:before="40" w:after="40"/>
            </w:pPr>
            <w:r/>
            <w:r>
              <w:rPr>
                <w:b w:val="0"/>
                <w:i w:val="0"/>
                <w:sz w:val="17"/>
              </w:rPr>
              <w:t>Align the barrier language: remove “the linguistic one” and “educational”, keeping language support as a measure open to everyone.</w:t>
            </w:r>
          </w:p>
        </w:tc>
        <w:tc>
          <w:tcPr>
            <w:tcW w:type="dxa" w:w="2494"/>
          </w:tcPr>
          <w:p>
            <w:pPr>
              <w:spacing w:before="40" w:after="40"/>
            </w:pPr>
            <w:r/>
            <w:r>
              <w:rPr>
                <w:b w:val="0"/>
                <w:i w:val="0"/>
                <w:sz w:val="17"/>
              </w:rPr>
              <w:t>Erasmus objectives field</w:t>
            </w:r>
          </w:p>
        </w:tc>
        <w:tc>
          <w:tcPr>
            <w:tcW w:type="dxa" w:w="1928"/>
          </w:tcPr>
          <w:p>
            <w:pPr>
              <w:spacing w:before="40" w:after="40"/>
            </w:pPr>
            <w:r/>
            <w:r>
              <w:rPr>
                <w:b w:val="0"/>
                <w:i w:val="0"/>
                <w:sz w:val="17"/>
              </w:rPr>
              <w:t>Relevance</w:t>
            </w:r>
          </w:p>
        </w:tc>
      </w:tr>
      <w:tr>
        <w:tc>
          <w:tcPr>
            <w:tcW w:type="dxa" w:w="454"/>
          </w:tcPr>
          <w:p>
            <w:pPr>
              <w:spacing w:before="40" w:after="40"/>
            </w:pPr>
            <w:r/>
            <w:r>
              <w:rPr>
                <w:b w:val="0"/>
                <w:i w:val="0"/>
                <w:sz w:val="17"/>
              </w:rPr>
              <w:t>6</w:t>
            </w:r>
          </w:p>
        </w:tc>
        <w:tc>
          <w:tcPr>
            <w:tcW w:type="dxa" w:w="4195"/>
          </w:tcPr>
          <w:p>
            <w:pPr>
              <w:spacing w:before="40" w:after="40"/>
            </w:pPr>
            <w:r/>
            <w:r>
              <w:rPr>
                <w:b w:val="0"/>
                <w:i w:val="0"/>
                <w:sz w:val="17"/>
              </w:rPr>
              <w:t>Either set the Turkish flow to green travel (+972.00) or change the sentence claiming green rates for all three flows.</w:t>
            </w:r>
          </w:p>
        </w:tc>
        <w:tc>
          <w:tcPr>
            <w:tcW w:type="dxa" w:w="2494"/>
          </w:tcPr>
          <w:p>
            <w:pPr>
              <w:spacing w:before="40" w:after="40"/>
            </w:pPr>
            <w:r/>
            <w:r>
              <w:rPr>
                <w:b w:val="0"/>
                <w:i w:val="0"/>
                <w:sz w:val="17"/>
              </w:rPr>
              <w:t>Environmental practices + flow 2</w:t>
            </w:r>
          </w:p>
        </w:tc>
        <w:tc>
          <w:tcPr>
            <w:tcW w:type="dxa" w:w="1928"/>
          </w:tcPr>
          <w:p>
            <w:pPr>
              <w:spacing w:before="40" w:after="40"/>
            </w:pPr>
            <w:r/>
            <w:r>
              <w:rPr>
                <w:b w:val="0"/>
                <w:i w:val="0"/>
                <w:sz w:val="17"/>
              </w:rPr>
              <w:t>Management</w:t>
            </w:r>
          </w:p>
        </w:tc>
      </w:tr>
      <w:tr>
        <w:tc>
          <w:tcPr>
            <w:tcW w:type="dxa" w:w="454"/>
          </w:tcPr>
          <w:p>
            <w:pPr>
              <w:spacing w:before="40" w:after="40"/>
            </w:pPr>
            <w:r/>
            <w:r>
              <w:rPr>
                <w:b w:val="0"/>
                <w:i w:val="0"/>
                <w:sz w:val="17"/>
              </w:rPr>
              <w:t>7</w:t>
            </w:r>
          </w:p>
        </w:tc>
        <w:tc>
          <w:tcPr>
            <w:tcW w:type="dxa" w:w="4195"/>
          </w:tcPr>
          <w:p>
            <w:pPr>
              <w:spacing w:before="40" w:after="40"/>
            </w:pPr>
            <w:r/>
            <w:r>
              <w:rPr>
                <w:b w:val="0"/>
                <w:i w:val="0"/>
                <w:sz w:val="17"/>
              </w:rPr>
              <w:t>Fix “The competence matrix above” — point it at the annexed timetable, which does carry the matrix.</w:t>
            </w:r>
          </w:p>
        </w:tc>
        <w:tc>
          <w:tcPr>
            <w:tcW w:type="dxa" w:w="2494"/>
          </w:tcPr>
          <w:p>
            <w:pPr>
              <w:spacing w:before="40" w:after="40"/>
            </w:pPr>
            <w:r/>
            <w:r>
              <w:rPr>
                <w:b w:val="0"/>
                <w:i w:val="0"/>
                <w:sz w:val="17"/>
              </w:rPr>
              <w:t>Recognition of learning</w:t>
            </w:r>
          </w:p>
        </w:tc>
        <w:tc>
          <w:tcPr>
            <w:tcW w:type="dxa" w:w="1928"/>
          </w:tcPr>
          <w:p>
            <w:pPr>
              <w:spacing w:before="40" w:after="40"/>
            </w:pPr>
            <w:r/>
            <w:r>
              <w:rPr>
                <w:b w:val="0"/>
                <w:i w:val="0"/>
                <w:sz w:val="17"/>
              </w:rPr>
              <w:t>Design</w:t>
            </w:r>
          </w:p>
        </w:tc>
      </w:tr>
      <w:tr>
        <w:tc>
          <w:tcPr>
            <w:tcW w:type="dxa" w:w="454"/>
          </w:tcPr>
          <w:p>
            <w:pPr>
              <w:spacing w:before="40" w:after="40"/>
            </w:pPr>
            <w:r/>
            <w:r>
              <w:rPr>
                <w:b w:val="0"/>
                <w:i w:val="0"/>
                <w:sz w:val="17"/>
              </w:rPr>
              <w:t>8</w:t>
            </w:r>
          </w:p>
        </w:tc>
        <w:tc>
          <w:tcPr>
            <w:tcW w:type="dxa" w:w="4195"/>
          </w:tcPr>
          <w:p>
            <w:pPr>
              <w:spacing w:before="40" w:after="40"/>
            </w:pPr>
            <w:r/>
            <w:r>
              <w:rPr>
                <w:b w:val="0"/>
                <w:i w:val="0"/>
                <w:sz w:val="17"/>
              </w:rPr>
              <w:t>Give the group-leaders answer a subject: “Four group leaders accompany the groups, all aged 18 or over…”.</w:t>
            </w:r>
          </w:p>
        </w:tc>
        <w:tc>
          <w:tcPr>
            <w:tcW w:type="dxa" w:w="2494"/>
          </w:tcPr>
          <w:p>
            <w:pPr>
              <w:spacing w:before="40" w:after="40"/>
            </w:pPr>
            <w:r/>
            <w:r>
              <w:rPr>
                <w:b w:val="0"/>
                <w:i w:val="0"/>
                <w:sz w:val="17"/>
              </w:rPr>
              <w:t>Background of participants</w:t>
            </w:r>
          </w:p>
        </w:tc>
        <w:tc>
          <w:tcPr>
            <w:tcW w:type="dxa" w:w="1928"/>
          </w:tcPr>
          <w:p>
            <w:pPr>
              <w:spacing w:before="40" w:after="40"/>
            </w:pPr>
            <w:r/>
            <w:r>
              <w:rPr>
                <w:b w:val="0"/>
                <w:i w:val="0"/>
                <w:sz w:val="17"/>
              </w:rPr>
              <w:t>Design</w:t>
            </w:r>
          </w:p>
        </w:tc>
      </w:tr>
      <w:tr>
        <w:tc>
          <w:tcPr>
            <w:tcW w:type="dxa" w:w="454"/>
          </w:tcPr>
          <w:p>
            <w:pPr>
              <w:spacing w:before="40" w:after="40"/>
            </w:pPr>
            <w:r/>
            <w:r>
              <w:rPr>
                <w:b w:val="0"/>
                <w:i w:val="0"/>
                <w:sz w:val="17"/>
              </w:rPr>
              <w:t>9</w:t>
            </w:r>
          </w:p>
        </w:tc>
        <w:tc>
          <w:tcPr>
            <w:tcW w:type="dxa" w:w="4195"/>
          </w:tcPr>
          <w:p>
            <w:pPr>
              <w:spacing w:before="40" w:after="40"/>
            </w:pPr>
            <w:r/>
            <w:r>
              <w:rPr>
                <w:b w:val="0"/>
                <w:i w:val="0"/>
                <w:sz w:val="17"/>
              </w:rPr>
              <w:t>Restore the accompanying-persons passage — six adults for twenty-one minors, one per 3.5, and why the Greek flow carries two.</w:t>
            </w:r>
          </w:p>
        </w:tc>
        <w:tc>
          <w:tcPr>
            <w:tcW w:type="dxa" w:w="2494"/>
          </w:tcPr>
          <w:p>
            <w:pPr>
              <w:spacing w:before="40" w:after="40"/>
            </w:pPr>
            <w:r/>
            <w:r>
              <w:rPr>
                <w:b w:val="0"/>
                <w:i w:val="0"/>
                <w:sz w:val="17"/>
              </w:rPr>
              <w:t>Measures field</w:t>
            </w:r>
          </w:p>
        </w:tc>
        <w:tc>
          <w:tcPr>
            <w:tcW w:type="dxa" w:w="1928"/>
          </w:tcPr>
          <w:p>
            <w:pPr>
              <w:spacing w:before="40" w:after="40"/>
            </w:pPr>
            <w:r/>
            <w:r>
              <w:rPr>
                <w:b w:val="0"/>
                <w:i w:val="0"/>
                <w:sz w:val="17"/>
              </w:rPr>
              <w:t>Design</w:t>
            </w:r>
          </w:p>
        </w:tc>
      </w:tr>
      <w:tr>
        <w:tc>
          <w:tcPr>
            <w:tcW w:type="dxa" w:w="454"/>
          </w:tcPr>
          <w:p>
            <w:pPr>
              <w:spacing w:before="40" w:after="40"/>
            </w:pPr>
            <w:r/>
            <w:r>
              <w:rPr>
                <w:b w:val="0"/>
                <w:i w:val="0"/>
                <w:sz w:val="17"/>
              </w:rPr>
              <w:t>10</w:t>
            </w:r>
          </w:p>
        </w:tc>
        <w:tc>
          <w:tcPr>
            <w:tcW w:type="dxa" w:w="4195"/>
          </w:tcPr>
          <w:p>
            <w:pPr>
              <w:spacing w:before="40" w:after="40"/>
            </w:pPr>
            <w:r/>
            <w:r>
              <w:rPr>
                <w:b w:val="0"/>
                <w:i w:val="0"/>
                <w:sz w:val="17"/>
              </w:rPr>
              <w:t>Run the typographic list from the earlier review: 17 missing spaces, “twenty one”, “LEADERnetwork”, “O1 :”, the missing full stop in Impact.</w:t>
            </w:r>
          </w:p>
        </w:tc>
        <w:tc>
          <w:tcPr>
            <w:tcW w:type="dxa" w:w="2494"/>
          </w:tcPr>
          <w:p>
            <w:pPr>
              <w:spacing w:before="40" w:after="40"/>
            </w:pPr>
            <w:r/>
            <w:r>
              <w:rPr>
                <w:b w:val="0"/>
                <w:i w:val="0"/>
                <w:sz w:val="17"/>
              </w:rPr>
              <w:t>Throughout</w:t>
            </w:r>
          </w:p>
        </w:tc>
        <w:tc>
          <w:tcPr>
            <w:tcW w:type="dxa" w:w="1928"/>
          </w:tcPr>
          <w:p>
            <w:pPr>
              <w:spacing w:before="40" w:after="40"/>
            </w:pPr>
            <w:r/>
            <w:r>
              <w:rPr>
                <w:b w:val="0"/>
                <w:i w:val="0"/>
                <w:sz w:val="17"/>
              </w:rPr>
              <w:t>Management</w:t>
            </w:r>
          </w:p>
        </w:tc>
      </w:tr>
      <w:tr>
        <w:tc>
          <w:tcPr>
            <w:tcW w:type="dxa" w:w="454"/>
          </w:tcPr>
          <w:p>
            <w:pPr>
              <w:spacing w:before="40" w:after="40"/>
            </w:pPr>
            <w:r/>
            <w:r>
              <w:rPr>
                <w:b w:val="0"/>
                <w:i w:val="0"/>
                <w:sz w:val="17"/>
              </w:rPr>
              <w:t>11</w:t>
            </w:r>
          </w:p>
        </w:tc>
        <w:tc>
          <w:tcPr>
            <w:tcW w:type="dxa" w:w="4195"/>
          </w:tcPr>
          <w:p>
            <w:pPr>
              <w:spacing w:before="40" w:after="40"/>
            </w:pPr>
            <w:r/>
            <w:r>
              <w:rPr>
                <w:b w:val="0"/>
                <w:i w:val="0"/>
                <w:sz w:val="17"/>
              </w:rPr>
              <w:t>Reconsider the third topic. “Digital safety and data protection” is the weakest fit for what the text argues.</w:t>
            </w:r>
          </w:p>
        </w:tc>
        <w:tc>
          <w:tcPr>
            <w:tcW w:type="dxa" w:w="2494"/>
          </w:tcPr>
          <w:p>
            <w:pPr>
              <w:spacing w:before="40" w:after="40"/>
            </w:pPr>
            <w:r/>
            <w:r>
              <w:rPr>
                <w:b w:val="0"/>
                <w:i w:val="0"/>
                <w:sz w:val="17"/>
              </w:rPr>
              <w:t>Topic</w:t>
            </w:r>
          </w:p>
        </w:tc>
        <w:tc>
          <w:tcPr>
            <w:tcW w:type="dxa" w:w="1928"/>
          </w:tcPr>
          <w:p>
            <w:pPr>
              <w:spacing w:before="40" w:after="40"/>
            </w:pPr>
            <w:r/>
            <w:r>
              <w:rPr>
                <w:b w:val="0"/>
                <w:i w:val="0"/>
                <w:sz w:val="17"/>
              </w:rPr>
              <w:t>Relevance</w:t>
            </w:r>
          </w:p>
        </w:tc>
      </w:tr>
      <w:tr>
        <w:tc>
          <w:tcPr>
            <w:tcW w:type="dxa" w:w="454"/>
          </w:tcPr>
          <w:p>
            <w:pPr>
              <w:spacing w:before="40" w:after="40"/>
            </w:pPr>
            <w:r/>
            <w:r>
              <w:rPr>
                <w:b w:val="0"/>
                <w:i w:val="0"/>
                <w:sz w:val="17"/>
              </w:rPr>
              <w:t>12</w:t>
            </w:r>
          </w:p>
        </w:tc>
        <w:tc>
          <w:tcPr>
            <w:tcW w:type="dxa" w:w="4195"/>
          </w:tcPr>
          <w:p>
            <w:pPr>
              <w:spacing w:before="40" w:after="40"/>
            </w:pPr>
            <w:r/>
            <w:r>
              <w:rPr>
                <w:b w:val="0"/>
                <w:i w:val="0"/>
                <w:sz w:val="17"/>
              </w:rPr>
              <w:t>Ask ANPCDEFP what the financial guarantee requires, and check that GGD’s accession form is signed.</w:t>
            </w:r>
          </w:p>
        </w:tc>
        <w:tc>
          <w:tcPr>
            <w:tcW w:type="dxa" w:w="2494"/>
          </w:tcPr>
          <w:p>
            <w:pPr>
              <w:spacing w:before="40" w:after="40"/>
            </w:pPr>
            <w:r/>
            <w:r>
              <w:rPr>
                <w:b w:val="0"/>
                <w:i w:val="0"/>
                <w:sz w:val="17"/>
              </w:rPr>
              <w:t>Outside the form</w:t>
            </w:r>
          </w:p>
        </w:tc>
        <w:tc>
          <w:tcPr>
            <w:tcW w:type="dxa" w:w="1928"/>
          </w:tcPr>
          <w:p>
            <w:pPr>
              <w:spacing w:before="40" w:after="40"/>
            </w:pPr>
            <w:r/>
            <w:r>
              <w:rPr>
                <w:b w:val="0"/>
                <w:i w:val="0"/>
                <w:sz w:val="17"/>
              </w:rPr>
              <w:t>Eligibility</w:t>
            </w:r>
          </w:p>
        </w:tc>
      </w:tr>
    </w:tbl>
    <w:p>
      <w:pPr>
        <w:spacing w:after="0"/>
      </w:pPr>
    </w:p>
    <w:p>
      <w:pPr>
        <w:pStyle w:val="Heading2"/>
      </w:pPr>
      <w:r>
        <w:t>Two things I got wrong earlier, corrected</w:t>
      </w:r>
    </w:p>
    <w:p>
      <w:pPr>
        <w:jc w:val="both"/>
      </w:pPr>
      <w:r>
        <w:rPr>
          <w:b w:val="0"/>
          <w:i w:val="0"/>
        </w:rPr>
        <w:t xml:space="preserve">The </w:t>
      </w:r>
      <w:r>
        <w:rPr>
          <w:b/>
          <w:i w:val="0"/>
        </w:rPr>
        <w:t>Annexes section does carry a Timetable slot</w:t>
      </w:r>
      <w:r>
        <w:rPr>
          <w:b w:val="0"/>
          <w:i w:val="0"/>
        </w:rPr>
        <w:t xml:space="preserve"> — you were right and I was reading an export that did not show it. The timetable is uploaded (25 kB), alongside the Declaration on Honour (184 kB) and both accession forms. My earlier concern that the session codes D1.2, D4.1 and the rest were defined nowhere therefore falls away: they are defined in the annex, which is attached.</w:t>
      </w:r>
    </w:p>
    <w:p>
      <w:pPr>
        <w:jc w:val="both"/>
      </w:pPr>
      <w:r>
        <w:rPr>
          <w:b w:val="0"/>
          <w:i w:val="0"/>
        </w:rPr>
        <w:t xml:space="preserve">The </w:t>
      </w:r>
      <w:r>
        <w:rPr>
          <w:b/>
          <w:i w:val="0"/>
        </w:rPr>
        <w:t>preparatory visit at four funded persons is almost certainly the correct reading</w:t>
      </w:r>
      <w:r>
        <w:rPr>
          <w:b w:val="0"/>
          <w:i w:val="0"/>
        </w:rPr>
        <w:t>, not an under-claim. The unit cost covers travel and subsistence, which the host organisation’s own local staff do not incur. The 2,720.00 now in the form matches the alternative figure flagged in the earlier review. It is the narrative that needs to follow the budget here, not the other way round.</w:t>
      </w:r>
    </w:p>
    <w:p>
      <w:pPr>
        <w:spacing w:before="40" w:after="120"/>
        <w:ind w:left="227"/>
      </w:pPr>
      <w:r>
        <w:rPr>
          <w:b w:val="0"/>
          <w:i w:val="0"/>
          <w:color w:val="9B1C1C"/>
          <w:sz w:val="18"/>
        </w:rPr>
        <w:t>Still undecided from earlier, and each worth money: the Turkish flow’s travel rate (+972.00), the travel days on all three flows (414.00 per person-day per flow), and inclusion support for participants. Taken together these are the difference between the 21,638.00 activity grant in the form and the 27,094.00 the content document computes. None of them affects the score directly; all of them affect what the project can actually pay for.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