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6.186 / 10.500 (59%)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14.10 pe site, Facebook, Instagram, LinkedIn: 7 postări FB (07.07, 16.07, 04.08, 13.08, 17.09, 29.09 ×2), 3 IG (13.08, 29.09 ×2), 3 LinkedIn (29.09, pe pagina Asociației). În PDF-ul echipei link-urile postărilor din 17.09 și 29.09 10:57 sunt inversate – corectate în documentul lunar. Lipsesc: fotografia afișului de la Huedin și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98 de elevi selectați și intrați în operațiune (17 pe acțiunea 8.f.1, 35 pe acțiunea 8.f.2 și 46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98 de elevi intrați în operațiune reprezintă 59% din ținta primului an (167 de elevi), decalajul fiind concentrat pe acțiunile 8.f.1 (17 din 61) și 8.f.3 (46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98 de elevi (17 pe acțiunea 8.f.1, 35 pe acțiunea 8.f.2 și 46 pe acțiunea 8.f.3), toți înregistrați în MySMIS2021, împreună cu cele 4 cadre didactice. Față de ținta primului an, recrutarea este realizată în proporție de 59%: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98 intrați în operațiune (17/35/46) = 55 GT1 (17/19/19) + 43 GT2 (26 Turda IX + 17 Huedin) – GT2 corectat după registrul din 14.10 și valoarea din MySMIS,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46 de elevi din acțiunea 8.f.3 (clasa a IX-a) au participat la programele remediale în perioada 17–30.09.2026: 26 la Colegiul Tehnic Turda (limba și literatura română și fizică) și 20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46 de elevi din clasa a IX-a au participat la cel puțin o sesiune remedială – 26 la Colegiul Tehnic Turda și 20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EECO06+07 „Copii și tineri” – Informații valoare raportată (valoare în perioadă: 98)</w:t>
            </w:r>
          </w:p>
        </w:tc>
      </w:tr>
    </w:tbl>
    <w:p>
      <w:pPr>
        <w:jc w:val="both"/>
      </w:pPr>
      <w:r>
        <w:rPr>
          <w:b w:val="0"/>
          <w:i w:val="0"/>
        </w:rPr>
        <w:t>În perioada de raportare iulie – septembrie 2026 au intrat în operațiune 98 de elevi, înregistrați în MySMIS2021 ca participanți la indicatorul de realizare EECO06+07 „Copii și tineri”, cu formularul de înregistrare individuală generat din sistem și semnat de elev și de reprezentantul legal. Elevii au fost identificați și selectați de Experții GT în cadrul SA4.1, pe baza Metodologiei de selecție a grupului țintă, și îndeplinesc la data intrării în operațiune condițiile de eligibilitate din GSCS 8.F: sunt înscriși în unitățile de învățământ partenere, cu clase de învățământ profesional și tehnic, și provin din medii dezavantajate sau prezintă risc de abandon școlar ori de părăsire timpurie a școlii, situație documentată prin confirmarea școlară și prin documentele din dosarul individual.</w:t>
      </w:r>
    </w:p>
    <w:p>
      <w:pPr>
        <w:jc w:val="both"/>
      </w:pPr>
      <w:r>
        <w:rPr>
          <w:b w:val="0"/>
          <w:i w:val="0"/>
        </w:rPr>
        <w:t xml:space="preserve">Repartizarea pe acțiuni: 17 elevi pe acțiunea 8.f.1 – clasele a X-a – a XI-a de la Colegiul Tehnic Turda, inclusiv structura Școala Profesională Poiana, care au beneficiat de sprijin psihologic individual și de grup în cadrul SA5.1; 35 de elevi pe acțiunea 8.f.2 – clasele a VII-a – a VIII-a de la Colegiul Tehnic Turda și Liceul Tehnologic „Vlădeasa” Huedin, care au participat la activitățile campaniei de informare și conștientizare și la activitățile de facilitare comunitară din cadrul SA5.3; 46 de elevi pe acțiunea 8.f.3 – clasa a IX-a de la Colegiul Tehnic Turda și Liceul Teologic Reformat Cluj-Napoca, care au început programele remediale din cadrul SA5.4. Toți cei 98 de elevi sunt persoane distincte; în această perioadă niciun elev nu a fost înregistrat pe două sau trei acțiuni, astfel că numărul înregistrărilor coincide cu numărul participanților. Structura pe clase respectă cerințele GSCS: toți elevii din acțiunea 8.f.2 sunt din clasele a VII-a – a VIII-a (minimum 50%), iar toți elevii din acțiunea 8.f.3 sunt din clasa a IX-a (minimum 70%). Dezagregare pe sex: </w:t>
      </w:r>
      <w:r>
        <w:rPr>
          <w:b w:val="0"/>
          <w:i w:val="0"/>
          <w:highlight w:val="yellow"/>
        </w:rPr>
        <w:t>«39»</w:t>
      </w:r>
      <w:r>
        <w:rPr>
          <w:b w:val="0"/>
          <w:i w:val="0"/>
        </w:rPr>
        <w:t xml:space="preserve"> de fete și </w:t>
      </w:r>
      <w:r>
        <w:rPr>
          <w:b w:val="0"/>
          <w:i w:val="0"/>
          <w:highlight w:val="yellow"/>
        </w:rPr>
        <w:t>«59»</w:t>
      </w:r>
      <w:r>
        <w:rPr>
          <w:b w:val="0"/>
          <w:i w:val="0"/>
        </w:rPr>
        <w:t xml:space="preserve"> de băieți.</w:t>
      </w:r>
    </w:p>
    <w:p>
      <w:pPr>
        <w:jc w:val="both"/>
      </w:pPr>
      <w:r>
        <w:rPr>
          <w:b w:val="0"/>
          <w:i w:val="0"/>
        </w:rPr>
        <w:t>Data intrării în operațiune este data primei activități la care a participat fiecare elev (15–30.09.2026), consemnată în formularul de înregistrare și în registrul grupului țintă. Valoarea realizată reprezintă 19,6% din ținta de 500 de elevi asumată prin cererea de finanțare (8.f.1: 17 din 183; 8.f.2: 35 din 104; 8.f.3: 46 din 213), în linie cu graficul de selecție progresivă pe trei ani școlari; recrutarea continuă în octombrie 2026 în școlile partenere și în unitățile de învățământ nou identificate. Pentru fiecare participant este atașat dosarul individual: formularul de înregistrare semnat, acordul reprezentantului legal și nota de informare privind prelucrarea datelor, declarația privind evitarea dublei finanțări, confirmarea școlară, documentele de identitate și grila de verificare a eligibilității, încărcate la „Document aferent grupului țintă”.</w:t>
      </w:r>
    </w:p>
    <w:p>
      <w:pPr>
        <w:spacing w:after="160"/>
      </w:pPr>
      <w:r>
        <w:rPr>
          <w:b w:val="0"/>
          <w:i/>
          <w:color w:val="1E6B2E"/>
          <w:sz w:val="16"/>
        </w:rPr>
        <w:t>Caractere: 2.775 / 3.500 (79%)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 părinții vor fi înregistrați cu formular de înregistrare individuală la prima participare.</w:t>
      </w:r>
    </w:p>
    <w:p>
      <w:pPr>
        <w:spacing w:after="160"/>
      </w:pPr>
      <w:r>
        <w:rPr>
          <w:b w:val="0"/>
          <w:i/>
          <w:color w:val="1E6B2E"/>
          <w:sz w:val="16"/>
        </w:rPr>
        <w:t>Caractere: 291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pentru elevii din acțiunile 8.f.1 și 8.f.3 care rămân în sistemul de educație sau finalizează programul la care au participat. În perioada de raportare nu au existat ieșiri din operațiune; programele de sprijin și cele remediale au început în luna septembrie 2026.</w:t>
      </w:r>
    </w:p>
    <w:p>
      <w:pPr>
        <w:spacing w:after="160"/>
      </w:pPr>
      <w:r>
        <w:rPr>
          <w:b w:val="0"/>
          <w:i/>
          <w:color w:val="1E6B2E"/>
          <w:sz w:val="16"/>
        </w:rPr>
        <w:t>Caractere: 406 / 3.500 (12%)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raportată în MySMIS: 98 = 17 (8.f.1) + 35 (8.f.2) + 46 (8.f.3). Registrul GT (versiunea din 14.10) are 97 de intrări până la 30.09: al 35-lea elev din 8.f.2 are data intrării 02.10.2026 (atelier FC2) – de verificat data din formularul de înregistrare; în 8.f.3 registrul are 20 de elevi la LTR (RA CD3: 19 în GT); în foaia F2 un CNP apare de două ori (rândurile 32 și 36, clasa a VIII-a Huedin) – de verificat dacă este același elev.</w:t>
            </w:r>
          </w:p>
        </w:tc>
      </w:tr>
    </w:tbl>
    <w:p>
      <w:pPr>
        <w:spacing w:after="0"/>
      </w:pP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98 de elevi intrați în operațiune, </w:t>
      </w:r>
      <w:r>
        <w:rPr>
          <w:b w:val="0"/>
          <w:i w:val="0"/>
          <w:highlight w:val="yellow"/>
        </w:rPr>
        <w:t>«39»</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98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98 au intrat în operațiune și au început să beneficieze de măsurile proiectului: 17 elevi din clasele a X-a – a XI-a au participat la sprijinul psihologic, 35 de elevi din clasele a VII-a – a VIII-a la activitățile campaniei de informare și conștientizare și 46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Indicatorul nu are termen scadent în perioada de raportare. Selecția grupului țintă este progresivă, în 3 serii corespunzătoare anilor școlari. Până la 30.09.2026 au fost identificați 169 de elevi, au fost constituite 134 de dosare de grup țintă, iar 98 de elevi au intrat în operațiune (8.f.1 – 17; 8.f.2 – 35; 8.f.3 – 46).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507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Indicatorul nu are termen scadent în perioada de raportare. Au intrat în operațiune 17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274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Indicatorul nu are termen scadent în perioada de raportare. Au intrat în operațiune 35 de elevi pe acțiunea 8.f.2, toți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340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Indicatorul nu are termen scadent în perioada de raportare. Au intrat în operațiune 46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297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experti_RP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21 de rânduri – un rând pe expert și lună (iul., aug., sept.), după modelul RP 8 (329335): categorie cu nivel de experiență, „Lider – Asociația GAL Napoca Porolissum”, coduri S.A.; aceleași persoane ca la pct. 12. Pontajele RF iulie–august (Dumitrescu) există în Drive.</w:t>
            </w:r>
          </w:p>
        </w:tc>
      </w:tr>
      <w:tr>
        <w:tc>
          <w:tcPr>
            <w:tcW w:type="dxa" w:w="3742"/>
          </w:tcPr>
          <w:p>
            <w:pPr>
              <w:spacing w:before="20" w:after="20"/>
            </w:pPr>
            <w:r/>
            <w:r>
              <w:rPr>
                <w:b w:val="0"/>
                <w:i w:val="0"/>
                <w:sz w:val="17"/>
              </w:rPr>
              <w:t>Anexa 14_Lista livrabile_RP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Completată cu mențiunea „Nu este cazul” – în RP 1 nu au fost realizate livrabile de tip studii/analize/strategii/curricula/ghiduri/platforme/manuale; metodologiile, planurile și procedurile sunt documente justificative, nu livrabile. Antet ca în modelul RP 8 (denumire proiect, cod SMIS, nr. RP, beneficiar, partener – nu este cazul).</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