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venue,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LAG territory, 96.9% of those aged 14–17 already use AI tools, yet they rate their own digital competence at 3.25 out of 5, and half of them build their picture of the world from social media. Nobody has taught them how to check any of it. VERIFAI turns twenty of them, from three peripheral European communities, into detectives: young people who can identify a source, check a date and a context, compare two independent sources, recognise a reused image and spot the signature of AI-generated content — and who then pass that on to others at home.</w:t>
      </w:r>
    </w:p>
    <w:p>
      <w:pPr>
        <w:jc w:val="both"/>
      </w:pPr>
      <w:r>
        <w:rPr>
          <w:b w:val="0"/>
          <w:i w:val="0"/>
        </w:rPr>
        <w:t xml:space="preserve">From a youth work perspective the practice problem is not ignorance. It is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Confidence outruns competence — so the method cannot be a lecture. Participants meet the false material and commit to a judgement </w:t>
      </w:r>
      <w:r>
        <w:rPr>
          <w:b w:val="0"/>
          <w:i/>
        </w:rPr>
        <w:t>before</w:t>
      </w:r>
      <w:r>
        <w:rPr>
          <w:b w:val="0"/>
          <w:i w:val="0"/>
        </w:rPr>
        <w:t xml:space="preserv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has three objectives. Each names its target group, its threshold, the instrument that produces the number and the date by which it has to be true.</w:t>
      </w:r>
    </w:p>
    <w:p>
      <w:pPr>
        <w:jc w:val="both"/>
      </w:pPr>
      <w:r>
        <w:rPr>
          <w:b/>
          <w:i w:val="0"/>
        </w:rPr>
        <w:t>O1 — Measured competence.</w:t>
      </w:r>
      <w:r>
        <w:rPr>
          <w:b w:val="0"/>
          <w:i w:val="0"/>
        </w:rPr>
        <w:t xml:space="preserve"> By 30 September 2028, at least 16 of the 20 participants aged 14–17 increase their score on the project’s 15-item, 30-point practical verification test by at least 30% against their own baseline, measured in May 2027 with the equivalent form of the same instrument and the same formula at both ends.</w:t>
      </w:r>
    </w:p>
    <w:p>
      <w:pPr>
        <w:jc w:val="both"/>
      </w:pPr>
      <w:r>
        <w:rPr>
          <w:b/>
          <w:i w:val="0"/>
        </w:rPr>
        <w:t>O2 — Demonstrated competence.</w:t>
      </w:r>
      <w:r>
        <w:rPr>
          <w:b w:val="0"/>
          <w:i w:val="0"/>
        </w:rPr>
        <w:t xml:space="preserve"> By 15 August 2027, the last day of the youth exchange, at least 16 of the 20 participants demonstrate all four verification techniques — identifying the source and the author; checking the date and the context; comparing at least two independent sources; verifying an image or a claim, including the indicators of AI-generated content — scoring the full 2 points on each, in the structured observation grid applied during session D4.1 by six observers trained and calibrated beforehand.</w:t>
      </w:r>
    </w:p>
    <w:p>
      <w:pPr>
        <w:jc w:val="both"/>
      </w:pPr>
      <w:r>
        <w:rPr>
          <w:b/>
          <w:i w:val="0"/>
        </w:rPr>
        <w:t>O3 — Transfer to the community.</w:t>
      </w:r>
      <w:r>
        <w:rPr>
          <w:b w:val="0"/>
          <w:i w:val="0"/>
        </w:rPr>
        <w:t xml:space="preserve"> Between September 2027 and June 2028, the 20 participants reach at least 80 other young people through four local initiatives, one in each partner community, and at least 70% of the young people reached pass the ten-minute closing exercise: naming two distinct checks, actually carrying one of them out, and drawing a conclusion that follows from what they found.</w:t>
      </w:r>
    </w:p>
    <w:p>
      <w:pPr>
        <w:jc w:val="both"/>
      </w:pPr>
      <w:r>
        <w:rPr>
          <w:b w:val="0"/>
          <w:i w:val="0"/>
        </w:rPr>
        <w:t>The 30% threshold is confirmed once the baseline exists, using relative growth with the same 30-point instrument at both ends. The recalibration rule is fixed in writing now, before any data exists: below a group mean of 9/30 the threshold rises to +50%, above 18/30 it falls to +20% with an absolute companion measure, and a participant scoring 24 or more at baseline meets O1 by holding 27 or more at the end. Fixing this in advance is what stops a threshold from becoming a way of producing the answer we want.</w:t>
      </w:r>
    </w:p>
    <w:p>
      <w:pPr>
        <w:spacing w:after="200"/>
      </w:pPr>
      <w:r>
        <w:rPr>
          <w:b w:val="0"/>
          <w:i/>
          <w:color w:val="5A5A5A"/>
          <w:sz w:val="16"/>
        </w:rPr>
        <w:t>≈ 3,541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One youth exchange of seven activity days plus two travel days, hosted in the Napoca Porolissum LAG territory in the Apuseni Mountains, Romania, from 9 to 15 August 2027 — inside the school summer holiday of all three countries. The programme moves from self-diagnosis (“My Digital Map”) through the mechanics of manipulation (“Spot the Fake”), AI-generated content (“AI or human?”), a full fact-checking simulation (“Fact-checkers for a day”), a community and intercultural day in a village of the territory, media production (“Make It, Don’t Fake It”) and a public presentation with Youthpass reflection. Around it: four months of preparation with four joint online sessions and a preparatory visit, and ten months of local application in which the participants run four local initiatives in their own communities.</w:t>
      </w:r>
    </w:p>
    <w:p>
      <w:pPr>
        <w:jc w:val="both"/>
      </w:pPr>
      <w:r>
        <w:rPr>
          <w:b w:val="0"/>
          <w:i w:val="0"/>
        </w:rPr>
        <w:t>Twenty young people aged 14–17 — seven from Romania, seven from Türkiye and six from Greece — plus four group leaders and two facilitators, 26 people in total. They come from three peripheral communities: the rural mountain communes of the Napoca Porolissum territory in Cluj County (Romania), the İstanbul metropolitan periphery and the rural localities around it (Türkiye), and small islands of the South Aegean (Greece).</w:t>
      </w:r>
    </w:p>
    <w:p>
      <w:pPr>
        <w:jc w:val="both"/>
      </w:pPr>
      <w:r>
        <w:rPr>
          <w:b w:val="0"/>
          <w:i w:val="0"/>
        </w:rPr>
        <w:t>They share the profile this project is built for. Almost all of them use AI tools and social media every day, and for a large part of them social media is the news; none of them has been taught how to check any of it. Their access to non-formal learning is thin and their access to international learning is close to nil: at least 15 of the 20 will be taking part in a European mobility for the first time, and in our territory 31.3% of young people aged 14–17 have never taken part in any non-formal education activity at all. At least 12 of the 20 face documented barriers — geographic (isolated mountain communes, small islands, a metropolitan periphery and the rural areas behind it), economic, educational, linguistic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2,152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i w:val="0"/>
        </w:rPr>
        <w:t>For the participants.</w:t>
      </w:r>
      <w:r>
        <w:rPr>
          <w:b w:val="0"/>
          <w:i w:val="0"/>
        </w:rPr>
        <w:t xml:space="preserve"> A measured increase in verification competence, documented by the same practical test at the start and at the end and by an observation grid applied during the mobility. Four short media products debunking real local myths, made by the participants themselves. Twenty Youthpass certificates built through daily reflection rather than handed out at the door. And, for most of them, a first international experience — which at fifteen, arriving from a mountain commune or an inland island village, is its own learning.</w:t>
      </w:r>
    </w:p>
    <w:p>
      <w:pPr>
        <w:jc w:val="both"/>
      </w:pPr>
      <w:r>
        <w:rPr>
          <w:b/>
          <w:i w:val="0"/>
        </w:rPr>
        <w:t>For the communities.</w:t>
      </w:r>
      <w:r>
        <w:rPr>
          <w:b w:val="0"/>
          <w:i w:val="0"/>
        </w:rPr>
        <w:t xml:space="preserve">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And a “Digital Detectives” toolkit — worksheets, exercises, games and verification grids, tested during the exchange and then rewritten on the basis of what happened in the field — published free of charge and handed to the youth workers, librarians and community educators who work with these young people week to week.</w:t>
      </w:r>
    </w:p>
    <w:p>
      <w:pPr>
        <w:jc w:val="both"/>
      </w:pPr>
      <w:r>
        <w:rPr>
          <w:b/>
          <w:i w:val="0"/>
        </w:rPr>
        <w:t>For the organisations.</w:t>
      </w:r>
      <w:r>
        <w:rPr>
          <w:b w:val="0"/>
          <w:i w:val="0"/>
        </w:rPr>
        <w:t xml:space="preserve"> A working method that survives the project. The coordinator integrates it into the youth animation work it already runs across its 14 partner municipalities; the partners translate the toolkit and keep using it — GGD into a volunteer network it trains every year, KEA into its creative activity centre for children and young people and across the 36 islands it serves. Beyond that, the three organisations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 participants will not move a county-level statistic, still less a national one. The contribution is exactly what it is: measurable change in twenty young people, documented extension to at least eighty more, and three instruments and one toolkit that stay in use in three organisations after the money stops.</w:t>
      </w:r>
    </w:p>
    <w:p>
      <w:pPr>
        <w:spacing w:after="200"/>
      </w:pPr>
      <w:r>
        <w:rPr>
          <w:b w:val="0"/>
          <w:i/>
          <w:color w:val="5A5A5A"/>
          <w:sz w:val="16"/>
        </w:rPr>
        <w:t>≈ 2,190 characters (assumed form limit 5,000 — within limit)</w:t>
      </w:r>
    </w:p>
    <w:p>
      <w:r>
        <w:br w:type="page"/>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26</w:t>
            </w:r>
          </w:p>
        </w:tc>
        <w:tc>
          <w:tcPr>
            <w:tcW w:type="dxa" w:w="2494"/>
          </w:tcPr>
          <w:p>
            <w:pPr>
              <w:spacing w:before="40" w:after="40"/>
            </w:pPr>
            <w:r/>
            <w:r>
              <w:rPr>
                <w:b w:val="0"/>
                <w:i w:val="0"/>
                <w:sz w:val="19"/>
              </w:rPr>
              <w:t>12</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26</w:t>
            </w:r>
          </w:p>
        </w:tc>
        <w:tc>
          <w:tcPr>
            <w:tcW w:type="dxa" w:w="2494"/>
          </w:tcPr>
          <w:p>
            <w:pPr>
              <w:spacing w:before="40" w:after="40"/>
            </w:pPr>
            <w:r/>
            <w:r>
              <w:rPr>
                <w:b/>
                <w:i w:val="0"/>
                <w:sz w:val="19"/>
              </w:rPr>
              <w:t>12</w:t>
            </w:r>
          </w:p>
        </w:tc>
      </w:tr>
    </w:tbl>
    <w:p>
      <w:pPr>
        <w:spacing w:after="0"/>
      </w:pPr>
    </w:p>
    <w:p>
      <w:pPr>
        <w:spacing w:after="160"/>
      </w:pPr>
      <w:r>
        <w:rPr>
          <w:b w:val="0"/>
          <w:i/>
          <w:color w:val="5A5A5A"/>
          <w:sz w:val="17"/>
        </w:rPr>
        <w:t>26 persons = 20 participants aged 14–17 + 4 group leaders + 2 facilitators, in three national groups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2,500.00</w:t>
            </w:r>
          </w:p>
        </w:tc>
        <w:tc>
          <w:tcPr>
            <w:tcW w:type="dxa" w:w="5669"/>
          </w:tcPr>
          <w:p>
            <w:pPr>
              <w:spacing w:before="40" w:after="40"/>
            </w:pPr>
            <w:r/>
            <w:r>
              <w:rPr>
                <w:b w:val="0"/>
                <w:i w:val="0"/>
                <w:sz w:val="19"/>
              </w:rPr>
              <w:t>125 × 20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7,593.00</w:t>
            </w:r>
          </w:p>
        </w:tc>
        <w:tc>
          <w:tcPr>
            <w:tcW w:type="dxa" w:w="5669"/>
          </w:tcPr>
          <w:p>
            <w:pPr>
              <w:spacing w:before="40" w:after="40"/>
            </w:pPr>
            <w:r/>
            <w:r>
              <w:rPr>
                <w:b w:val="0"/>
                <w:i w:val="0"/>
                <w:sz w:val="19"/>
              </w:rPr>
              <w:t>Romania 9 persons × 56 (band 10–99 km); Türkiye 9 and Greece 8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12,328.00</w:t>
            </w:r>
          </w:p>
        </w:tc>
        <w:tc>
          <w:tcPr>
            <w:tcW w:type="dxa" w:w="5669"/>
          </w:tcPr>
          <w:p>
            <w:pPr>
              <w:spacing w:before="40" w:after="40"/>
            </w:pPr>
            <w:r/>
            <w:r>
              <w:rPr>
                <w:b w:val="0"/>
                <w:i w:val="0"/>
                <w:sz w:val="19"/>
              </w:rPr>
              <w:t>Romania 9 persons × 9 days × 46; Türkiye 9 and Greece 8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1,500.00</w:t>
            </w:r>
          </w:p>
        </w:tc>
        <w:tc>
          <w:tcPr>
            <w:tcW w:type="dxa" w:w="5669"/>
          </w:tcPr>
          <w:p>
            <w:pPr>
              <w:spacing w:before="40" w:after="40"/>
            </w:pPr>
            <w:r/>
            <w:r>
              <w:rPr>
                <w:b w:val="0"/>
                <w:i w:val="0"/>
                <w:sz w:val="19"/>
              </w:rPr>
              <w:t>125 × 12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29,321.00</w:t>
            </w:r>
          </w:p>
        </w:tc>
        <w:tc>
          <w:tcPr>
            <w:tcW w:type="dxa" w:w="5669"/>
          </w:tcPr>
          <w:p>
            <w:pPr>
              <w:spacing w:before="40" w:after="40"/>
            </w:pPr>
            <w:r/>
            <w:r>
              <w:rPr>
                <w:b w:val="0"/>
                <w:i w:val="0"/>
                <w:sz w:val="19"/>
              </w:rPr>
              <w:t>Of which 25,921.00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25,921.00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25,921.00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 a non-governmental, non-profit association registered in Romania under Government Ordinance 26/2000, with its office in Gilău, Cluj County, in the Apuseni Mountains.</w:t>
      </w:r>
    </w:p>
    <w:p>
      <w:pPr>
        <w:jc w:val="both"/>
      </w:pPr>
      <w:r>
        <w:rPr>
          <w:b/>
          <w:i w:val="0"/>
        </w:rPr>
        <w:t>WHAT WE ARE.</w:t>
      </w:r>
      <w:r>
        <w:rPr>
          <w:b w:val="0"/>
          <w:i w:val="0"/>
        </w:rPr>
        <w:t xml:space="preserve"> We were founded in 2011 as a Local Action Group under the LEADER programme, and we are a public-private partnership rather than a single organisation. We have 43 members, listed and signed in the attendance record of our General Assembly of 17 October 2023: 14 local authorities — the communes of Aghireșu, Beliș, Călățele, Căpușu Mare, Gilău, Huedin, Izvorul Crișului, Măguri-Răcătău, Mănăstireni, Mărgău, Mărișel, Rîșca, Săcuieu and Sâncraiu — one university, and 28 private companies, NGOs and authorised individuals, including the professional social workers’ association PROSOCIAL. We employ 13 people.</w:t>
      </w:r>
    </w:p>
    <w:p>
      <w:pPr>
        <w:jc w:val="both"/>
      </w:pPr>
      <w:r>
        <w:rPr>
          <w:b/>
          <w:i w:val="0"/>
        </w:rPr>
        <w:t>WHERE WE WORK.</w:t>
      </w:r>
      <w:r>
        <w:rPr>
          <w:b w:val="0"/>
          <w:i w:val="0"/>
        </w:rPr>
        <w:t xml:space="preserve"> Our territory is those 14 localities: a rural mountain area where young people live 40 to 80 kilometres from the nearest city, where the offer of youth activities is thin, and where community life runs in two languages, Romanian and Hungarian. Everything we do happens there, with the people who live there.</w:t>
      </w:r>
    </w:p>
    <w:p>
      <w:pPr>
        <w:jc w:val="both"/>
      </w:pPr>
      <w:r>
        <w:rPr>
          <w:b/>
          <w:i w:val="0"/>
        </w:rPr>
        <w:t>HOW WE WORK.</w:t>
      </w:r>
      <w:r>
        <w:rPr>
          <w:b w:val="0"/>
          <w:i w:val="0"/>
        </w:rPr>
        <w:t xml:space="preserve"> LEADER gives us a method we apply to everything, not only to agriculture: bottom-up. We ask the community what it needs, we design with the people affected, and we measure what changed. We have built and implemented two Local Development Strategies this way. It is also how this project began — with a survey of 153 young people in our own territory, not with a wish to run a mobility.</w:t>
      </w:r>
    </w:p>
    <w:p>
      <w:pPr>
        <w:jc w:val="both"/>
      </w:pPr>
      <w:r>
        <w:rPr>
          <w:b/>
          <w:i w:val="0"/>
        </w:rPr>
        <w:t>OUR YOUTH DEPARTMENT.</w:t>
      </w:r>
      <w:r>
        <w:rPr>
          <w:b w:val="0"/>
          <w:i w:val="0"/>
        </w:rPr>
        <w:t xml:space="preserve"> On 17 October 2023 our General Assembly decided, unanimously, to establish a Youth Department inside the association, and appointed Ovidiu-Claudiu-Ionel Iancu as its Coordinator. That decision matters more than it may look. It means youth work here is not a side activity that depends on whichever project is running: it is a standing department, with a named coordinator, a budget line and a mandate from the members — including the 14 mayors who voted for it. Since then the department has run the Rural Youth Parliament, youth consultations across the territory, and the youth strand of our European projects.</w:t>
      </w:r>
    </w:p>
    <w:p>
      <w:pPr>
        <w:jc w:val="both"/>
      </w:pPr>
      <w:r>
        <w:rPr>
          <w:b/>
          <w:i w:val="0"/>
        </w:rPr>
        <w:t>WHAT WE DO BESIDES PROJECTS.</w:t>
      </w:r>
      <w:r>
        <w:rPr>
          <w:b w:val="0"/>
          <w:i w:val="0"/>
        </w:rPr>
        <w:t xml:space="preserve"> Through our Social Inclusion Centre and the UNIC — Porolissum project we work directly with vulnerable families, which is how we reach young people that an online call never touches. We run Ruraliada, a three-day festival of visual, digital and performing arts in Beliș commune funded by the National Recovery and Resilience Plan; The School — children’s painting, which brings professional artists into village schools; Christmas markets in Mărișel and Beliș; an annual Diversity Day; and educational camps in Romania and abroad for children from disadvantaged communities.</w:t>
      </w:r>
    </w:p>
    <w:p>
      <w:pPr>
        <w:jc w:val="both"/>
      </w:pPr>
      <w:r>
        <w:rPr>
          <w:b/>
          <w:i w:val="0"/>
        </w:rPr>
        <w:t>OUR EUROPEAN EXPERIENCE.</w:t>
      </w:r>
      <w:r>
        <w:rPr>
          <w:b w:val="0"/>
          <w:i w:val="0"/>
        </w:rPr>
        <w:t xml:space="preserve"> We are the coordinator of EMPOWER+ — Empowering Rural Youth: Establishing and Strengthening the Rural Youth Parliament in Sub-Saharan Africa (proposal 101243075), under the centralised Erasmus+ Youth action Capacity Building in the field of Youth, where we lead nine organisations across seven countries. We coordinated the Erasmus+ project Rural Youth Parliament — tool for youth involvement in local communities (2021-1-RO01-KA220-YOU-000029265). We are implementing CONNECT-R — Connecting rural youth with the EU (KA154-YOU, 2025 ID KA154-YOU-62F63343). We have been a partner in YouProClima (2023-1-IT03-KA220-YOU-000155348), ALL4JOBS (KA220-YOU-70101DB1) and SMART+CULTURE (KA210-YOU-C68333FA).</w:t>
      </w:r>
    </w:p>
    <w:p>
      <w:pPr>
        <w:jc w:val="both"/>
      </w:pPr>
      <w:r>
        <w:rPr>
          <w:b/>
          <w:i w:val="0"/>
        </w:rPr>
        <w:t>WHY THIS ACTION, AND WHY NOW.</w:t>
      </w:r>
      <w:r>
        <w:rPr>
          <w:b w:val="0"/>
          <w:i w:val="0"/>
        </w:rPr>
        <w:t xml:space="preserve"> We have run youth projects as coordinator and as partner, but we have never hosted a youth exchange. That is the deliberate next step: hosting means owning the learning programme, the venue, the safety of twenty minors and the relationship with the host community. We have the territory, the venue network, the 14 municipalities, the Social Inclusion Centre, an in-house youth worker and trainer, and a Youth Department created for exactly this. What we do not yet have is KA152 experience — which is why we are doing it with partners who complement us, and why we have written the learning programme, the safeguarding arrangements and the three measurement instruments before asking for the money.</w:t>
      </w:r>
    </w:p>
    <w:p>
      <w:pPr>
        <w:spacing w:after="200"/>
      </w:pPr>
      <w:r>
        <w:rPr>
          <w:b w:val="0"/>
          <w:i/>
          <w:color w:val="5A5A5A"/>
          <w:sz w:val="16"/>
        </w:rPr>
        <w:t>≈ 4,264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is a standing function with a named owner, not a set of activities that appear when a project is funded. On 17 October 2023 our General Assembly established a Youth Department inside the association and appointed Ovidiu-Claudiu-Ionel Iancu as its Coordinator, by unanimous vote of the members present — including the mayors of the 14 communes of our territory. What follows is what it does.</w:t>
      </w:r>
    </w:p>
    <w:p>
      <w:pPr>
        <w:jc w:val="both"/>
      </w:pPr>
      <w:r>
        <w:rPr>
          <w:b/>
          <w:i w:val="0"/>
        </w:rPr>
        <w:t>WHAT WE RUN REGULARLY</w:t>
      </w:r>
    </w:p>
    <w:p>
      <w:pPr>
        <w:jc w:val="both"/>
      </w:pPr>
      <w:r>
        <w:rPr>
          <w:b/>
          <w:i w:val="0"/>
        </w:rPr>
        <w:t>The Rural Youth Parliament.</w:t>
      </w:r>
      <w:r>
        <w:rPr>
          <w:b w:val="0"/>
          <w:i w:val="0"/>
        </w:rPr>
        <w:t xml:space="preserve"> We created it through the Erasmus+ project Rural Youth Parliament — tool for youth involvement in local communities (2021-1-RO01-KA220-YOU-000029265), and we have coordinated it ever since. Young people from our communes meet, debate local issues, prepare positions and put them to their own mayors. It is where most of them first discover that an institution will answer them.</w:t>
      </w:r>
    </w:p>
    <w:p>
      <w:pPr>
        <w:jc w:val="both"/>
      </w:pPr>
      <w:r>
        <w:rPr>
          <w:b/>
          <w:i w:val="0"/>
        </w:rPr>
        <w:t>Youth consultations across the territory.</w:t>
      </w:r>
      <w:r>
        <w:rPr>
          <w:b w:val="0"/>
          <w:i w:val="0"/>
        </w:rPr>
        <w:t xml:space="preserve"> We go to the 14 localities and ask. In spring and summer 2026 a bilingual Romanian/Hungarian survey brought 153 responses from 12 of our 14 communes, 96 from young people aged 14–17. That survey is the evidence base of this application, and it is normal practice for us rather than a one-off.</w:t>
      </w:r>
    </w:p>
    <w:p>
      <w:pPr>
        <w:jc w:val="both"/>
      </w:pPr>
      <w:r>
        <w:rPr>
          <w:b w:val="0"/>
          <w:i w:val="0"/>
        </w:rPr>
        <w:t>Outreach through the Social Inclusion Centre and the UNIC — Porolissum project. Our social work team is in contact with vulnerable families every week. This is how we reach young people who would never see a call published online, and how we will meet the target of at least 12 participants with fewer opportunities.</w:t>
      </w:r>
    </w:p>
    <w:p>
      <w:pPr>
        <w:jc w:val="both"/>
      </w:pPr>
      <w:r>
        <w:rPr>
          <w:b/>
          <w:i w:val="0"/>
        </w:rPr>
        <w:t>Cultural and educational activity with young people.</w:t>
      </w:r>
      <w:r>
        <w:rPr>
          <w:b w:val="0"/>
          <w:i w:val="0"/>
        </w:rPr>
        <w:t xml:space="preserve"> Ruraliada — Culture in the Mountains, a three-day festival of visual, digital and performing arts in Beliș commune funded by the National Recovery and Resilience Plan, with painting, ceramics and multimedia workshops and encounters with artists. The School — children’s painting, bringing professional artists into village schools. An annual Diversity Day, Christmas markets in Mărișel and Beliș, and educational camps in Romania and abroad for children from disadvantaged communities.</w:t>
      </w:r>
    </w:p>
    <w:p>
      <w:pPr>
        <w:jc w:val="both"/>
      </w:pPr>
      <w:r>
        <w:rPr>
          <w:b/>
          <w:i w:val="0"/>
        </w:rPr>
        <w:t>European youth projects.</w:t>
      </w:r>
      <w:r>
        <w:rPr>
          <w:b w:val="0"/>
          <w:i w:val="0"/>
        </w:rPr>
        <w:t xml:space="preserve"> We coordinate EMPOWER+ (proposal 101243075, ERASMUS-YOUTH-2025-CB-SSA), leading nine organisations in seven countries on rural youth participation. We are implementing CONNECT-R (KA154-YOU). We have been a partner in YouProClima, ALL4JOBS and SMART+CULTURE.</w:t>
      </w:r>
    </w:p>
    <w:p>
      <w:pPr>
        <w:jc w:val="both"/>
      </w:pPr>
      <w:r>
        <w:rPr>
          <w:b/>
          <w:i w:val="0"/>
        </w:rPr>
        <w:t>THE PEOPLE WHO WILL DO THIS WORK</w:t>
      </w:r>
    </w:p>
    <w:p>
      <w:pPr>
        <w:jc w:val="both"/>
      </w:pPr>
      <w:r>
        <w:rPr>
          <w:b/>
          <w:i w:val="0"/>
        </w:rPr>
        <w:t>Claudiu Iancu</w:t>
      </w:r>
      <w:r>
        <w:rPr>
          <w:b w:val="0"/>
          <w:i w:val="0"/>
        </w:rPr>
        <w:t xml:space="preserve"> — Coordinator of the Youth Department; in this project, Learning Programme Coordinator and lead facilitator. Youth worker and community facilitator with a qualified Trainer certificate and five Europass mobility certificates. BSc in Economic Engineering in Agriculture, MSc in Rural Development. Around three years inside Local Action Groups on rural development, social inclusion and non-formal education, after a period in adult education training over 1,000 adults as an expert. Involved in more than five Erasmus+ Youth projects; in the past three years he has organised and facilitated over 50 youth events — workshops, consultations, youth meetings and participation activities. Coordinator of the Rural Youth Parliament and youth leader in YouProClima. He owns the learning programme, the three measurement instruments, the facilitation team and the Youthpass process.</w:t>
      </w:r>
    </w:p>
    <w:p>
      <w:pPr>
        <w:jc w:val="both"/>
      </w:pPr>
      <w:r>
        <w:rPr>
          <w:b/>
          <w:i w:val="0"/>
        </w:rPr>
        <w:t>Alina Ioana Baba</w:t>
      </w:r>
      <w:r>
        <w:rPr>
          <w:b w:val="0"/>
          <w:i w:val="0"/>
        </w:rPr>
        <w:t xml:space="preserve"> — project manager. Two degrees (Legal Sciences; Public Administration), three master’s degrees and a PhD in economics. Manager of the association for over ten years, with a portfolio covering Erasmus+ youth, VET, school and adult education projects and transnational cooperation. She carries coordination, the relationship with the National Agency, the budget, reporting and risk decisions.</w:t>
      </w:r>
    </w:p>
    <w:p>
      <w:pPr>
        <w:jc w:val="both"/>
      </w:pPr>
      <w:r>
        <w:rPr>
          <w:b/>
          <w:i w:val="0"/>
        </w:rPr>
        <w:t>Livia Golovatic</w:t>
      </w:r>
      <w:r>
        <w:rPr>
          <w:b w:val="0"/>
          <w:i w:val="0"/>
        </w:rPr>
        <w:t xml:space="preserve"> — activity coordinator and Romanian group leader. BA in International Relations and European Studies, currently in a master’s in European Affairs and Programme Management. Assistant manager on the Local Development Strategy, with experience in Erasmus+ Youth and VET projects, non-formal education and youth participation. She runs the four joint online preparation sessions, leads the Romanian group and coordinates the four local initiatives.</w:t>
      </w:r>
    </w:p>
    <w:p>
      <w:pPr>
        <w:jc w:val="both"/>
      </w:pPr>
      <w:r>
        <w:rPr>
          <w:b/>
          <w:i w:val="0"/>
        </w:rPr>
        <w:t>Marilena Georgescu</w:t>
      </w:r>
      <w:r>
        <w:rPr>
          <w:b w:val="0"/>
          <w:i w:val="0"/>
        </w:rPr>
        <w:t xml:space="preserve"> — inclusion and safeguarding lead. Higher education in Social Assistance and Law, master’s in Project Management, vocational qualifications in train-the-trainer and socio-educational animation. Fourteen years managing social inclusion projects for vulnerable groups; coordinator of social service centres including a day centre for children. She is the designated safeguarding focal point, deliberately outside the facilitation team so a participant can raise a concern about a facilitator, and she leads recruitment through the Social Inclusion Centre.</w:t>
      </w:r>
    </w:p>
    <w:p>
      <w:pPr>
        <w:jc w:val="both"/>
      </w:pPr>
      <w:r>
        <w:rPr>
          <w:b/>
          <w:i w:val="0"/>
        </w:rPr>
        <w:t>Iulia Fătu</w:t>
      </w:r>
      <w:r>
        <w:rPr>
          <w:b w:val="0"/>
          <w:i w:val="0"/>
        </w:rPr>
        <w:t xml:space="preserve"> — finance and logistics. Two bachelor’s degrees and two master’s degrees, including Audit and Financial Management of European Funds. On European projects since 2014. She handles the budget, procurement, venue and transport contracting, insurance, the venue risk assessment and financial reporting.</w:t>
      </w:r>
    </w:p>
    <w:p>
      <w:pPr>
        <w:spacing w:after="200"/>
      </w:pPr>
      <w:r>
        <w:rPr>
          <w:b w:val="0"/>
          <w:i/>
          <w:color w:val="5A5A5A"/>
          <w:sz w:val="16"/>
        </w:rPr>
        <w:t>≈ 4,984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i w:val="0"/>
        </w:rPr>
        <w:t>Experience in the areas this project works on.</w:t>
      </w:r>
      <w:r>
        <w:rPr>
          <w:b w:val="0"/>
          <w:i w:val="0"/>
        </w:rPr>
        <w:t xml:space="preserve">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i w:val="0"/>
        </w:rPr>
        <w:t>One of the two facilitators of the exchange is designated by GGD</w:t>
      </w:r>
      <w:r>
        <w:rPr>
          <w:b w:val="0"/>
          <w:i w:val="0"/>
        </w:rPr>
        <w:t>, for the same reason: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i w:val="0"/>
        </w:rPr>
        <w:t>Experience in the areas this project works on.</w:t>
      </w:r>
      <w:r>
        <w:rPr>
          <w:b w:val="0"/>
          <w:i w:val="0"/>
        </w:rPr>
        <w:t xml:space="preserve">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i w:val="0"/>
        </w:rPr>
        <w:t>Newcomer to this Action, not to the Programme.</w:t>
      </w:r>
      <w:r>
        <w:rPr>
          <w:b w:val="0"/>
          <w:i w:val="0"/>
        </w:rPr>
        <w:t xml:space="preserve"> KEA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i w:val="0"/>
        </w:rPr>
        <w:t>Why the Greek group travels with two adults.</w:t>
      </w:r>
      <w:r>
        <w:rPr>
          <w:b w:val="0"/>
          <w:i w:val="0"/>
        </w:rPr>
        <w:t xml:space="preserve"> Six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six minors. The National Call allows one group leader for every four young people, so four group leaders for twenty participants remains below that ceiling, and the Call makes explicit provision for well-justified cases involving minors. Six adults accompany twenty minors — one adult per 3.3 participants.</w:t>
      </w:r>
    </w:p>
    <w:p>
      <w:pPr>
        <w:spacing w:after="200"/>
      </w:pPr>
      <w:r>
        <w:rPr>
          <w:b w:val="0"/>
          <w:i/>
          <w:color w:val="5A5A5A"/>
          <w:sz w:val="16"/>
        </w:rPr>
        <w:t>≈ 3,657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i w:val="0"/>
        </w:rPr>
        <w:t>The need, in one sentence.</w:t>
      </w:r>
      <w:r>
        <w:rPr>
          <w:b w:val="0"/>
          <w:i w:val="0"/>
        </w:rPr>
        <w:t xml:space="preserve"> 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w:t>
      </w:r>
    </w:p>
    <w:p>
      <w:pPr>
        <w:jc w:val="both"/>
      </w:pPr>
      <w:r>
        <w:rPr>
          <w:b/>
          <w:i w:val="0"/>
        </w:rPr>
        <w:t>How we know: our own data.</w:t>
      </w:r>
      <w:r>
        <w:rPr>
          <w:b w:val="0"/>
          <w:i w:val="0"/>
        </w:rPr>
        <w:t xml:space="preserve"> Between spring and summer 2026 we ran a bilingual Romanian/Hungarian survey among young people in our territory and received 153 responses from 12 of our 14 localities. Ninety-six respondents are aged 14–17, exactly the target group of this project: </w:t>
      </w:r>
      <w:r>
        <w:rPr>
          <w:b/>
          <w:i w:val="0"/>
        </w:rPr>
        <w:t>96.9% already use AI tools</w:t>
      </w:r>
      <w:r>
        <w:rPr>
          <w:b w:val="0"/>
          <w:i w:val="0"/>
        </w:rPr>
        <w:t xml:space="preserve">; 20.8% rate their own digital competence as low, with a group mean of </w:t>
      </w:r>
      <w:r>
        <w:rPr>
          <w:b/>
          <w:i w:val="0"/>
        </w:rPr>
        <w:t>3.25 out of 5</w:t>
      </w:r>
      <w:r>
        <w:rPr>
          <w:b w:val="0"/>
          <w:i w:val="0"/>
        </w:rPr>
        <w:t>;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the LAG. Read together, those figures are the whole problem: use is universal, competence has not followed.</w:t>
      </w:r>
    </w:p>
    <w:p>
      <w:pPr>
        <w:jc w:val="both"/>
      </w:pPr>
      <w:r>
        <w:rPr>
          <w:b/>
          <w:i w:val="0"/>
        </w:rPr>
        <w:t>How we know: the same need in Greece.</w:t>
      </w:r>
      <w:r>
        <w:rPr>
          <w:b w:val="0"/>
          <w:i w:val="0"/>
        </w:rPr>
        <w:t xml:space="preserve"> KEA IM Syrou produced a needs analysis for the South Aegean, and it describes our own diagnosis in another country. Greece scores 50.96 on the DESI index for basic digital competences — 22nd of 27 Member States, against an EU average of 60.40 — and the deficit is sharpest in isolated island areas. In a 2025 nationwide survey Greek students named their online fears as data theft (27%), excessive use (24%) and contact with strangers (16%), with misinformation a primary risk for only 15%. The consequence is measurable: </w:t>
      </w:r>
      <w:r>
        <w:rPr>
          <w:b/>
          <w:i w:val="0"/>
        </w:rPr>
        <w:t>80% of Greek students cannot distinguish a real article from a fake one or from a sponsored advertisement</w:t>
      </w:r>
      <w:r>
        <w:rPr>
          <w:b w:val="0"/>
          <w:i w:val="0"/>
        </w:rPr>
        <w:t xml:space="preserve">, and many report judging an article by the </w:t>
      </w:r>
      <w:r>
        <w:rPr>
          <w:b w:val="0"/>
          <w:i/>
        </w:rPr>
        <w:t>size of its photograph</w:t>
      </w:r>
      <w:r>
        <w:rPr>
          <w:b w:val="0"/>
          <w:i w:val="0"/>
        </w:rPr>
        <w:t>. Six in ten internet users admit republishing a story after reading only the headline. Greek academic studies confirm the same gap we found: self-reported digital confidence rarely matches performance in a structured assessment.</w:t>
      </w:r>
    </w:p>
    <w:p>
      <w:pPr>
        <w:jc w:val="both"/>
      </w:pPr>
      <w:r>
        <w:rPr>
          <w:b w:val="0"/>
          <w:i w:val="0"/>
        </w:rPr>
        <w:t xml:space="preserve">Read against our own data the two territories line up almost exactly. Romania has the highest share of young people with low digital skills in the Union; Greece sits 22nd of 27. Here, 96.9% of 14–17-year-olds use AI tools while rating their own competence at 3.25 out of 5; there, four fifths of students cannot tell a real article from a fake one while naming misinformation as only their fifth concern. The same overconfidence, in the two places least equipped to correct it. </w:t>
      </w:r>
      <w:r>
        <w:rPr>
          <w:b/>
          <w:i w:val="0"/>
        </w:rPr>
        <w:t>That is the shared condition this partnership is built on.</w:t>
      </w:r>
    </w:p>
    <w:p>
      <w:pPr>
        <w:jc w:val="both"/>
      </w:pPr>
      <w:r>
        <w:rPr>
          <w:b/>
          <w:i w:val="0"/>
        </w:rPr>
        <w:t>And in Türkiye.</w:t>
      </w:r>
      <w:r>
        <w:rPr>
          <w:b w:val="0"/>
          <w:i w:val="0"/>
        </w:rPr>
        <w:t xml:space="preserve"> GGD runs the same ten-question consultation in its own community before submission — at least 20–25 young people aged 14–17 from the İstanbul periphery and the rural localities it works with — and delivers a one-page needs note with the method, the numbers and the findings. [TO CONFIRM.]</w:t>
      </w:r>
    </w:p>
    <w:p>
      <w:pPr>
        <w:jc w:val="both"/>
      </w:pPr>
      <w:r>
        <w:rPr>
          <w:b/>
          <w:i w:val="0"/>
        </w:rPr>
        <w:t>How we know: European data.</w:t>
      </w:r>
      <w:r>
        <w:rPr>
          <w:b w:val="0"/>
          <w:i w:val="0"/>
        </w:rPr>
        <w:t xml:space="preserve"> The Flash Eurobarometer “Youth Survey 2024” (EP013EP), carried out by Ipsos for the European Parliament among 25,863 respondents aged 16–30 across all 27 Member States, found that more than three quarters of young Europeans believe they met disinformation in the previous seven days, while 70% feel confident they can recognise it. And Romania records the highest share in the Union of young people saying they encountered none at all — 19%, against 1% in Cyprus — while 31% of Romanian respondents declare themselves very confident. Romanian young people are simultaneously the least likely in Europe to notice disinformation and among the most certain they would recognise it.</w:t>
      </w:r>
    </w:p>
    <w:p>
      <w:pPr>
        <w:jc w:val="both"/>
      </w:pPr>
      <w:r>
        <w:rPr>
          <w:b/>
          <w:i w:val="0"/>
        </w:rPr>
        <w:t>What follows for the design.</w:t>
      </w:r>
      <w:r>
        <w:rPr>
          <w:b w:val="0"/>
          <w:i w:val="0"/>
        </w:rPr>
        <w:t xml:space="preserve"> If the problem were a lack of confidence, the answer would be encouragement. Because the problem is untrained confidence, the answer is a controlled experience of being wrong. Day 1 starts with participants mapping their own media diet rather than with a presentation; on Day 2 the false material is judged before the verdict is revealed. It is also why the project needs a genuinely international group: a stereotype is at its least defensible when a young person from the community it targets is sitting in the room.</w:t>
      </w:r>
    </w:p>
    <w:p>
      <w:pPr>
        <w:jc w:val="both"/>
      </w:pPr>
      <w:r>
        <w:rPr>
          <w:b/>
          <w:i w:val="0"/>
        </w:rPr>
        <w:t>Why these three communities.</w:t>
      </w:r>
      <w:r>
        <w:rPr>
          <w:b w:val="0"/>
          <w:i w:val="0"/>
        </w:rPr>
        <w:t xml:space="preserve"> Beyond the shared overconfidence, two things hold in all three. They are peripheral in three different ways — an isolated rural mountain area of 14 localities, a metropolitan periphery and the rural communities beyond it, and small islands scattered across a region of 36 — which produces the same result at the door of a European programme: a journey longer, costlier and harder to organise than from a capital city. And information reaches them through channels nobody corrects: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The practical offer that would fix this exists in none of the three.</w:t>
      </w:r>
    </w:p>
    <w:p>
      <w:pPr>
        <w:jc w:val="both"/>
      </w:pPr>
      <w:r>
        <w:rPr>
          <w:b/>
          <w:i w:val="0"/>
        </w:rPr>
        <w:t>Objectives.</w:t>
      </w:r>
      <w:r>
        <w:rPr>
          <w:b w:val="0"/>
          <w:i w:val="0"/>
        </w:rPr>
        <w:t xml:space="preserve"> </w:t>
      </w:r>
      <w:r>
        <w:rPr>
          <w:b/>
          <w:i w:val="0"/>
        </w:rPr>
        <w:t>O1</w:t>
      </w:r>
      <w:r>
        <w:rPr>
          <w:b w:val="0"/>
          <w:i w:val="0"/>
        </w:rPr>
        <w:t xml:space="preserve"> — by 30 September 2028, at least 16 of the 20 improve their score on the 15-item, 30-point verification test by at least 30% against their own May 2027 baseline. </w:t>
      </w:r>
      <w:r>
        <w:rPr>
          <w:b/>
          <w:i w:val="0"/>
        </w:rPr>
        <w:t>O2</w:t>
      </w:r>
      <w:r>
        <w:rPr>
          <w:b w:val="0"/>
          <w:i w:val="0"/>
        </w:rPr>
        <w:t xml:space="preserve"> — by 15 August 2027, at least 16 of the 20 demonstrate all four verification techniques at full marks, in the observation grid applied during session D4.1 by calibrated observers with half the cohort scored twice. </w:t>
      </w:r>
      <w:r>
        <w:rPr>
          <w:b/>
          <w:i w:val="0"/>
        </w:rPr>
        <w:t>O3</w:t>
      </w:r>
      <w:r>
        <w:rPr>
          <w:b w:val="0"/>
          <w:i w:val="0"/>
        </w:rPr>
        <w:t xml:space="preserve"> — between September 2027 and June 2028, the 20 reach at least 80 other young people through four local initiatives, and at least 70% of those reached pass the ten-minute exercise: name two distinct checks, carry one out, draw a conclusion that follows. Each objective is worded identically in the project summary and in the evaluation section, with the same instrument, threshold and date.</w:t>
      </w:r>
    </w:p>
    <w:p>
      <w:pPr>
        <w:spacing w:after="200"/>
      </w:pPr>
      <w:r>
        <w:rPr>
          <w:b w:val="0"/>
          <w:i/>
          <w:color w:val="5A5A5A"/>
          <w:sz w:val="16"/>
        </w:rPr>
        <w:t>≈ 5,993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i w:val="0"/>
        </w:rPr>
        <w:t>Digital transformation — the substance, not the label.</w:t>
      </w:r>
      <w:r>
        <w:rPr>
          <w:b w:val="0"/>
          <w:i w:val="0"/>
        </w:rPr>
        <w:t xml:space="preserve"> VERIFAI builds the part of digital competence that use alone never produces. Our participants can already operate the tools; what they cannot do is find out where something came from. The project develops three things, in this order: using digital tools and AI tools responsibly and with their limits understood; checking sources — who published it, who wrote it, when, in what original context, and whether any independent source says the same; and recognising false, manipulated or artificially generated content, including content they could produce themselves. That is the priority and it is also the whole project — it defines the need, the participant profile, every method in the agenda, the four media products, the toolkit and the two instruments that measure whether it worked. It also matches what the National Agency has said it is looking for in 2026: among projects addressing digital transformation, priority goes to those that tackle disinformation and promote digital literacy.</w:t>
      </w:r>
    </w:p>
    <w:p>
      <w:pPr>
        <w:jc w:val="both"/>
      </w:pPr>
      <w:r>
        <w:rPr>
          <w:b/>
          <w:i w:val="0"/>
        </w:rPr>
        <w:t>Participation in democratic life, common values and civic engagement.</w:t>
      </w:r>
      <w:r>
        <w:rPr>
          <w:b w:val="0"/>
          <w:i w:val="0"/>
        </w:rPr>
        <w:t xml:space="preserve"> Checking a claim is a precondition of taking part: without it, a vote, a public argument or a civic initiative rests on false premises. Our participants are 14 to 17 now, which means most of them will cast their first ballot within four to six years of this project.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i w:val="0"/>
        </w:rPr>
        <w:t>Inclusion and diversity.</w:t>
      </w:r>
      <w:r>
        <w:rPr>
          <w:b w:val="0"/>
          <w:i w:val="0"/>
        </w:rPr>
        <w:t xml:space="preserve"> The barriers our participants face are concrete, and each is answered by a concrete measure: geographic — the exchange is hosted inside our own territory and transport is paid from each participant’s own front door; economic — no participation fee of any kind, stated in writing from the day the call is published; linguistic — English is not a selection criterion and A2 is accepted, with a glossary built in four languages; social and educational — four months of preparation rather than four weeks, a parents’ meeting in each country before consents are signed, and the stated right to leave a session without giving a reason. At least 12 of the 20 participants face documented barriers and at least 15 travel on a European mobility for the first time. The measures are set out in full under Participants with fewer opportunities.</w:t>
      </w:r>
    </w:p>
    <w:p>
      <w:pPr>
        <w:jc w:val="both"/>
      </w:pPr>
      <w:r>
        <w:rPr>
          <w:b/>
          <w:i w:val="0"/>
        </w:rPr>
        <w:t>Objectives of the Action.</w:t>
      </w:r>
      <w:r>
        <w:rPr>
          <w:b w:val="0"/>
          <w:i w:val="0"/>
        </w:rPr>
        <w:t xml:space="preserve">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addresses each of these directly, and the third structurally: the working material of Day 2 includes real content that feeds ethnic, gender and migration stereotypes, analysed in mixed teams in which young people from the targeted communities are present.</w:t>
      </w:r>
    </w:p>
    <w:p>
      <w:pPr>
        <w:jc w:val="both"/>
      </w:pPr>
      <w:r>
        <w:rPr>
          <w:b/>
          <w:i w:val="0"/>
        </w:rPr>
        <w:t>EU Youth Strategy and the European Youth Goals.</w:t>
      </w:r>
      <w:r>
        <w:rPr>
          <w:b w:val="0"/>
          <w:i w:val="0"/>
        </w:rPr>
        <w:t xml:space="preserve"> The project addresses Goal 4, </w:t>
      </w:r>
      <w:r>
        <w:rPr>
          <w:b w:val="0"/>
          <w:i/>
        </w:rPr>
        <w:t>Information and Constructive Dialogue</w:t>
      </w:r>
      <w:r>
        <w:rPr>
          <w:b w:val="0"/>
          <w:i w:val="0"/>
        </w:rPr>
        <w:t xml:space="preserve">, which is its very object; Goal 6, </w:t>
      </w:r>
      <w:r>
        <w:rPr>
          <w:b w:val="0"/>
          <w:i/>
        </w:rPr>
        <w:t>Moving Rural Youth Forward</w:t>
      </w:r>
      <w:r>
        <w:rPr>
          <w:b w:val="0"/>
          <w:i w:val="0"/>
        </w:rPr>
        <w:t xml:space="preserve">, since the activity takes place in a rural mountain territory and the multiplication happens in the participants’ own localities; and Goal 9, </w:t>
      </w:r>
      <w:r>
        <w:rPr>
          <w:b w:val="0"/>
          <w:i/>
        </w:rPr>
        <w:t>Space and Participation for All</w:t>
      </w:r>
      <w:r>
        <w:rPr>
          <w:b w:val="0"/>
          <w:i w:val="0"/>
        </w:rPr>
        <w:t>, since participants co-design the programme, choose the subjects to be verified and lead their own local initiatives. Within the “Connecting” field of action it creates exactly the link the Strategy looks for: young people from four European peripheries discovering that they have the same problem, and working on it together.</w:t>
      </w:r>
    </w:p>
    <w:p>
      <w:pPr>
        <w:jc w:val="both"/>
      </w:pPr>
      <w:r>
        <w:rPr>
          <w:b/>
          <w:i w:val="0"/>
        </w:rPr>
        <w:t>Common EU values.</w:t>
      </w:r>
      <w:r>
        <w:rPr>
          <w:b w:val="0"/>
          <w:i w:val="0"/>
        </w:rPr>
        <w:t xml:space="preserve"> Disinformation attacks human dignity through dehumanising content, equality through algorithmically amplified stereotypes, and the rule of law by eroding trust in institutions. Three concrete anchors rather than a declaration: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 Romanian, Hungarian, Turkish and Greek; and the analysis of stereotype-bearing content is deliberately done in the presence of the people it targets.</w:t>
      </w:r>
    </w:p>
    <w:p>
      <w:pPr>
        <w:spacing w:after="200"/>
      </w:pPr>
      <w:r>
        <w:rPr>
          <w:b w:val="0"/>
          <w:i/>
          <w:color w:val="5A5A5A"/>
          <w:sz w:val="16"/>
        </w:rPr>
        <w:t>≈ 4,641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i w:val="0"/>
        </w:rPr>
        <w:t>A competence they did not have, measured rather than asserted.</w:t>
      </w:r>
      <w:r>
        <w:rPr>
          <w:b w:val="0"/>
          <w:i w:val="0"/>
        </w:rPr>
        <w:t xml:space="preserve"> Every participant takes the same 15-item practical verification test in month 2 and its equivalent in month 18, and the target is a 30% improvement for at least 16 of the 20. During the mobility an observation grid records whether each participant actually performs four named techniques in the Day 4 simulation — not whether they can describe them. That distinction matters here more than it would elsewhere, because our starting point is a group that already believes it can spot a fake.</w:t>
      </w:r>
    </w:p>
    <w:p>
      <w:pPr>
        <w:jc w:val="both"/>
      </w:pPr>
      <w:r>
        <w:rPr>
          <w:b/>
          <w:i w:val="0"/>
        </w:rPr>
        <w:t>A first European experience, for most of them.</w:t>
      </w:r>
      <w:r>
        <w:rPr>
          <w:b w:val="0"/>
          <w:i w:val="0"/>
        </w:rPr>
        <w:t xml:space="preserve"> At least 15 of the 20 will be taking part in a European mobility for the first time, and in our territory 31.3% of young people aged 14–17 have never taken part in any non-formal education activity at all. For those participants the gain is not only thematic: working in a mixed international team, in English, with people they have never met, is itself the learning. It is also what they asked for — 60.4% of the 14–17 group named foreign languages and intercultural communication as what they most want out of a European mobility.</w:t>
      </w:r>
    </w:p>
    <w:p>
      <w:pPr>
        <w:jc w:val="both"/>
      </w:pPr>
      <w:r>
        <w:rPr>
          <w:b/>
          <w:i w:val="0"/>
        </w:rPr>
        <w:t>Something to do afterwards.</w:t>
      </w:r>
      <w:r>
        <w:rPr>
          <w:b w:val="0"/>
          <w:i w:val="0"/>
        </w:rPr>
        <w:t xml:space="preserve"> The project does not end when they get off the bus. Each participant leaves the mobility with a written commitment and a role in one of the four local initiatives, which they design and lead themselves, with the group leader supporting rather than directing. This is where a fifteen-year-old moves from “I learned something” to “I taught twenty people”, and in our experience it is the part that changes how they see themselves.</w:t>
      </w:r>
    </w:p>
    <w:p>
      <w:pPr>
        <w:jc w:val="both"/>
      </w:pPr>
      <w:r>
        <w:rPr>
          <w:b/>
          <w:i w:val="0"/>
        </w:rPr>
        <w:t>Learning they can name, document and use.</w:t>
      </w:r>
      <w:r>
        <w:rPr>
          <w:b w:val="0"/>
          <w:i w:val="0"/>
        </w:rPr>
        <w:t xml:space="preserve"> Youthpass is worked on from Day 1 through a learning diary and daily reflection groups — in the national group and in the participant’s own language first, then in plenary — and closed on Day 7 in a dedicated session. The value is in the process, not the paper: it teaches a sixteen-year-old to identify what they actually learned, to document it with evidence they can point to, and to present it in a form someone else understands. That is a transferable skill in itself, and it is what makes the certificate usable afterwards — in the next learning activity they join, in volunteering, in a civic initiative in their own community, and in the next international mobility they apply for.</w:t>
      </w:r>
    </w:p>
    <w:p>
      <w:pPr>
        <w:jc w:val="both"/>
      </w:pPr>
      <w:r>
        <w:rPr>
          <w:b/>
          <w:i w:val="0"/>
        </w:rPr>
        <w:t>Six months later.</w:t>
      </w:r>
      <w:r>
        <w:rPr>
          <w:b w:val="0"/>
          <w:i w:val="0"/>
        </w:rPr>
        <w:t xml:space="preserve"> A follow-up questionnaire in month 12 asks what they still use. The honest expectation is not that all twenty become fact-checkers. It is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2,666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i w:val="0"/>
        </w:rPr>
        <w:t>For the coordinator.</w:t>
      </w:r>
      <w:r>
        <w:rPr>
          <w:b w:val="0"/>
          <w:i w:val="0"/>
        </w:rPr>
        <w:t xml:space="preserve"> LAG Napoca Porolissum has run youth projects as partner and as coordinator, but this is its first project as hosting organisation for a youth exchange. That is a deliberate step in the organisation’s development. Hosting means owning the learning programme, the venue, the safety of twenty minors and the relationship with the host community, and it converts a network of 43 partners and 14 municipalities from a rural-development asset into a youth-work asset. The organisation ends the project with a tested non-formal learning programme, three measurement instruments it did not have, and a child protection policy that will apply to everything it does afterwards.</w:t>
      </w:r>
    </w:p>
    <w:p>
      <w:pPr>
        <w:jc w:val="both"/>
      </w:pPr>
      <w:r>
        <w:rPr>
          <w:b/>
          <w:i w:val="0"/>
        </w:rPr>
        <w:t>For Genç Gönüllüler Derneği.</w:t>
      </w:r>
      <w:r>
        <w:rPr>
          <w:b w:val="0"/>
          <w:i w:val="0"/>
        </w:rPr>
        <w:t xml:space="preserve"> The partner brings production and technology expertise and gains the verification methodology it currently lacks. For an organisation that already convened a hundred specialists to work out what children need from digital content, and that has an AI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i w:val="0"/>
        </w:rPr>
        <w:t>For KEA IM Syrou.</w:t>
      </w:r>
      <w:r>
        <w:rPr>
          <w:b w:val="0"/>
          <w:i w:val="0"/>
        </w:rPr>
        <w:t xml:space="preserve"> This is its first Erasmus+ youth mobility. Its Erasmus+ experience is in adult education partnerships and its youth work has run through national and ESF programmes, so it gains a first structured experience of KA152 alongside a coordinator that carries the financial and reporting load. More concretely, it gains a tested method it can put into its creative activity centre for children and young people, and carry out to the 36 islands it already serves — where the alternative is nothing at all. It also gains something for its current work: the child-poverty action plan it is implementing in Naxos and Kea includes school dropout prevention and professional orientation for young people, and a verification toolkit sits naturally inside that.</w:t>
      </w:r>
    </w:p>
    <w:p>
      <w:pPr>
        <w:jc w:val="both"/>
      </w:pPr>
      <w:r>
        <w:rPr>
          <w:b/>
          <w:i w:val="0"/>
        </w:rPr>
        <w:t>For all three.</w:t>
      </w:r>
      <w:r>
        <w:rPr>
          <w:b w:val="0"/>
          <w:i w:val="0"/>
        </w:rPr>
        <w:t xml:space="preserve"> The partnership produces something none of them has separately: an evidenced answer to a problem all three communities share, in a form other peripheral territories can pick up. In month 17 the three organisations formally assess whether to continue — either with a second exchange hosted by another partner, or with a youth participation project focused on dialogue with local decision-makers. The decision is minuted either way, including if it is not to continue.</w:t>
      </w:r>
    </w:p>
    <w:p>
      <w:pPr>
        <w:spacing w:after="200"/>
      </w:pPr>
      <w:r>
        <w:rPr>
          <w:b w:val="0"/>
          <w:i/>
          <w:color w:val="5A5A5A"/>
          <w:sz w:val="16"/>
        </w:rPr>
        <w:t>≈ 2,496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i w:val="0"/>
        </w:rPr>
        <w:t>Local.</w:t>
      </w:r>
      <w:r>
        <w:rPr>
          <w:b w:val="0"/>
          <w:i w:val="0"/>
        </w:rPr>
        <w:t xml:space="preserve"> At least 80 young people reached directly through the four local initiatives, hosted in youth centres, libraries, community centres, the partner organisations’ own spaces and other accessible public places. In Romania, the results are also presented across the 14 localities of the LAG territory through the community events the organisation already runs every year, so that young people who did not take part still meet the material, and so that the four media products circulate where the myths they debunk actually circulate.</w:t>
      </w:r>
    </w:p>
    <w:p>
      <w:pPr>
        <w:jc w:val="both"/>
      </w:pPr>
      <w:r>
        <w:rPr>
          <w:b/>
          <w:i w:val="0"/>
        </w:rPr>
        <w:t>Regional.</w:t>
      </w:r>
      <w:r>
        <w:rPr>
          <w:b w:val="0"/>
          <w:i w:val="0"/>
        </w:rPr>
        <w:t xml:space="preserve"> The “Digital Detectives” toolkit is offered free of charge to the youth organisations, libraries and community centres of the territory, with a presentation session for the youth workers and librarians who will use it. The 14 partner municipalities receive the evaluation report and a short set of recommendations. Romania has no coordinated national media-literacy strategy and its policies in this area are fragmented across separate legal frameworks; in that context, a tested, free, ready-to-use set of materials in the hands of people who already work with rural young people has a value out of proportion to the size of this project.</w:t>
      </w:r>
    </w:p>
    <w:p>
      <w:pPr>
        <w:jc w:val="both"/>
      </w:pPr>
      <w:r>
        <w:rPr>
          <w:b/>
          <w:i w:val="0"/>
        </w:rPr>
        <w:t>National and European.</w:t>
      </w:r>
      <w:r>
        <w:rPr>
          <w:b w:val="0"/>
          <w:i w:val="0"/>
        </w:rPr>
        <w:t xml:space="preserv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 a channel that reaches Local Action Groups across rural Europe, an audience that rarely encounters media-literacy tools at all. The target is at least four organisations outside the partnership confirming in writing that they use the toolkit.</w:t>
      </w:r>
    </w:p>
    <w:p>
      <w:pPr>
        <w:jc w:val="both"/>
      </w:pPr>
      <w:r>
        <w:rPr>
          <w:b/>
          <w:i w:val="0"/>
        </w:rPr>
        <w:t>What we do not claim.</w:t>
      </w:r>
      <w:r>
        <w:rPr>
          <w:b w:val="0"/>
          <w:i w:val="0"/>
        </w:rPr>
        <w:t xml:space="preserve"> Twenty participants will not move a county-level statistic. The contribution is stated as it is: measurable change in twenty young people, documented extension to at least eighty more, and instruments that stay in use in three organisations after the project ends.</w:t>
      </w:r>
    </w:p>
    <w:p>
      <w:pPr>
        <w:spacing w:after="200"/>
      </w:pPr>
      <w:r>
        <w:rPr>
          <w:b w:val="0"/>
          <w:i/>
          <w:color w:val="5A5A5A"/>
          <w:sz w:val="16"/>
        </w:rPr>
        <w:t>≈ 2,198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20</w:t>
            </w:r>
          </w:p>
        </w:tc>
        <w:tc>
          <w:tcPr>
            <w:tcW w:type="dxa" w:w="1134"/>
          </w:tcPr>
          <w:p>
            <w:pPr>
              <w:spacing w:before="40" w:after="40"/>
            </w:pPr>
            <w:r/>
            <w:r>
              <w:rPr>
                <w:b w:val="0"/>
                <w:i w:val="0"/>
                <w:sz w:val="19"/>
              </w:rPr>
              <w:t>26</w:t>
            </w:r>
          </w:p>
        </w:tc>
        <w:tc>
          <w:tcPr>
            <w:tcW w:type="dxa" w:w="1361"/>
          </w:tcPr>
          <w:p>
            <w:pPr>
              <w:spacing w:before="40" w:after="40"/>
            </w:pPr>
            <w:r/>
            <w:r>
              <w:rPr>
                <w:b w:val="0"/>
                <w:i w:val="0"/>
                <w:sz w:val="19"/>
              </w:rPr>
              <w:t>25,921.00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20</w:t>
            </w:r>
          </w:p>
        </w:tc>
        <w:tc>
          <w:tcPr>
            <w:tcW w:type="dxa" w:w="1134"/>
          </w:tcPr>
          <w:p>
            <w:pPr>
              <w:spacing w:before="40" w:after="40"/>
            </w:pPr>
            <w:r/>
            <w:r>
              <w:rPr>
                <w:b/>
                <w:i w:val="0"/>
                <w:sz w:val="19"/>
              </w:rPr>
              <w:t>26</w:t>
            </w:r>
          </w:p>
        </w:tc>
        <w:tc>
          <w:tcPr>
            <w:tcW w:type="dxa" w:w="1361"/>
          </w:tcPr>
          <w:p>
            <w:pPr>
              <w:spacing w:before="40" w:after="40"/>
            </w:pPr>
            <w:r/>
            <w:r>
              <w:rPr>
                <w:b/>
                <w:i w:val="0"/>
                <w:sz w:val="19"/>
              </w:rPr>
              <w:t>25,921.00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This is a decision, not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12 of our 20 participants are participants with fewer opportunities, from whom the Programme does not permit fees in any case, a fee would also have to be charged to some participants and not others — inside a group of twenty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983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20</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12</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26</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25,921.00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6</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8</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20</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26</w:t>
            </w:r>
          </w:p>
        </w:tc>
        <w:tc>
          <w:tcPr>
            <w:tcW w:type="dxa" w:w="850"/>
          </w:tcPr>
          <w:p>
            <w:pPr>
              <w:spacing w:before="40" w:after="40"/>
            </w:pPr>
            <w:r/>
            <w:r>
              <w:rPr>
                <w:b/>
                <w:i w:val="0"/>
                <w:sz w:val="17"/>
              </w:rPr>
              <w:t>12</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the accommodation unit in the Napoca Porolissum LAG territory, Apuseni Mountains, Cluj County, Romania [TO CONFIRM].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(8 persons)</w:t>
            </w:r>
          </w:p>
        </w:tc>
        <w:tc>
          <w:tcPr>
            <w:tcW w:type="dxa" w:w="2041"/>
          </w:tcPr>
          <w:p>
            <w:pPr>
              <w:spacing w:before="40" w:after="40"/>
            </w:pPr>
            <w:r/>
            <w:r>
              <w:rPr>
                <w:b w:val="0"/>
                <w:i w:val="0"/>
                <w:sz w:val="19"/>
              </w:rPr>
              <w:t>8 × 417 = 3,336.00</w:t>
            </w:r>
          </w:p>
        </w:tc>
        <w:tc>
          <w:tcPr>
            <w:tcW w:type="dxa" w:w="2154"/>
          </w:tcPr>
          <w:p>
            <w:pPr>
              <w:spacing w:before="40" w:after="40"/>
            </w:pPr>
            <w:r/>
            <w:r>
              <w:rPr>
                <w:b w:val="0"/>
                <w:i w:val="0"/>
                <w:sz w:val="19"/>
              </w:rPr>
              <w:t>8 × 11 × 46 = 4,048.00</w:t>
            </w:r>
          </w:p>
        </w:tc>
        <w:tc>
          <w:tcPr>
            <w:tcW w:type="dxa" w:w="2041"/>
          </w:tcPr>
          <w:p>
            <w:pPr>
              <w:spacing w:before="40" w:after="40"/>
            </w:pPr>
            <w:r/>
            <w:r>
              <w:rPr>
                <w:b w:val="0"/>
                <w:i w:val="0"/>
                <w:sz w:val="19"/>
              </w:rPr>
              <w:t>7,384.00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7,593.00</w:t>
            </w:r>
          </w:p>
        </w:tc>
        <w:tc>
          <w:tcPr>
            <w:tcW w:type="dxa" w:w="2154"/>
          </w:tcPr>
          <w:p>
            <w:pPr>
              <w:spacing w:before="40" w:after="40"/>
            </w:pPr>
            <w:r/>
            <w:r>
              <w:rPr>
                <w:b/>
                <w:i w:val="0"/>
                <w:sz w:val="19"/>
              </w:rPr>
              <w:t>12,328.00</w:t>
            </w:r>
          </w:p>
        </w:tc>
        <w:tc>
          <w:tcPr>
            <w:tcW w:type="dxa" w:w="2041"/>
          </w:tcPr>
          <w:p>
            <w:pPr>
              <w:spacing w:before="40" w:after="40"/>
            </w:pPr>
            <w:r/>
            <w:r>
              <w:rPr>
                <w:b/>
                <w:i w:val="0"/>
                <w:sz w:val="19"/>
              </w:rPr>
              <w:t>19,921.00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20</w:t>
            </w:r>
          </w:p>
        </w:tc>
        <w:tc>
          <w:tcPr>
            <w:tcW w:type="dxa" w:w="2041"/>
          </w:tcPr>
          <w:p>
            <w:pPr>
              <w:spacing w:before="40" w:after="40"/>
            </w:pPr>
            <w:r/>
            <w:r>
              <w:rPr>
                <w:b w:val="0"/>
                <w:i w:val="0"/>
                <w:sz w:val="19"/>
              </w:rPr>
              <w:t>2,500.00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12</w:t>
            </w:r>
          </w:p>
        </w:tc>
        <w:tc>
          <w:tcPr>
            <w:tcW w:type="dxa" w:w="2041"/>
          </w:tcPr>
          <w:p>
            <w:pPr>
              <w:spacing w:before="40" w:after="40"/>
            </w:pPr>
            <w:r/>
            <w:r>
              <w:rPr>
                <w:b w:val="0"/>
                <w:i w:val="0"/>
                <w:sz w:val="19"/>
              </w:rPr>
              <w:t>1,500.00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25,921.00</w:t>
            </w:r>
          </w:p>
        </w:tc>
      </w:tr>
    </w:tbl>
    <w:p>
      <w:pPr>
        <w:spacing w:after="0"/>
      </w:pPr>
    </w:p>
    <w:p>
      <w:pPr>
        <w:spacing w:after="160"/>
      </w:pPr>
      <w:r>
        <w:rPr>
          <w:b w:val="0"/>
          <w:i/>
          <w:color w:val="5A5A5A"/>
          <w:sz w:val="17"/>
        </w:rPr>
        <w:t>The preparatory visit (3,400.00 EUR) sits at project level, not inside the activity, which is why the project total is 29,321.00 and the activity grant 25,921.00.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i w:val="0"/>
        </w:rPr>
        <w:t>Romania — LAG Napoca Porolissum, 7 young people aged 14–17 plus 1 group leader.</w:t>
      </w:r>
      <w:r>
        <w:rPr>
          <w:b w:val="0"/>
          <w:i w:val="0"/>
        </w:rPr>
        <w:t xml:space="preserve"> Young people from the rural mountain communes of the territory — Săcuieu, Gilău, Huedin, Mărișel, Căpușu Mare, Mărgău, Măguri-Răcătău, Călățele, Beliș, Mănăstireni, Aghireșu,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i w:val="0"/>
        </w:rPr>
        <w:t>Türkiye — Genç Gönüllüler Derneği, 7 young people aged 14–17 plus 1 group leader.</w:t>
      </w:r>
      <w:r>
        <w:rPr>
          <w:b w:val="0"/>
          <w:i w:val="0"/>
        </w:rPr>
        <w:t xml:space="preserve"> Young people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its standing work identifying digital skill gaps among those volunteers is how it knows where to look. [TO CONFIRM: the urban/rural composition, the localities, and GGD’s consultation data.]</w:t>
      </w:r>
    </w:p>
    <w:p>
      <w:pPr>
        <w:jc w:val="both"/>
      </w:pPr>
      <w:r>
        <w:rPr>
          <w:b/>
          <w:i w:val="0"/>
        </w:rPr>
        <w:t>Greece — KEA IM Syrou, 6 young people aged 14–17 plus 2 group leaders.</w:t>
      </w:r>
      <w:r>
        <w:rPr>
          <w:b w:val="0"/>
          <w:i w:val="0"/>
        </w:rPr>
        <w:t xml:space="preserve"> Young people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 Greece 22nd of 27 on basic digital competences, 80% of students unable to tell a real article from a fake one. The group travels with two accompanying adults because of the length of the journey. [TO CONFIRM: the islands and the departure point.]</w:t>
      </w:r>
    </w:p>
    <w:p>
      <w:pPr>
        <w:jc w:val="both"/>
      </w:pPr>
      <w:r>
        <w:rPr>
          <w:b/>
          <w:i w:val="0"/>
        </w:rPr>
        <w:t>How the groups are formed.</w:t>
      </w:r>
      <w:r>
        <w:rPr>
          <w:b w:val="0"/>
          <w:i w:val="0"/>
        </w:rPr>
        <w:t xml:space="preserve"> All three partners use one common recruitment backbone, published simultaneously in month 1 with the same criteria translated into Romanian, Hungarian, Turkish and Greek. Target: at least 60 applications for the 20 places. Selection is by a commission of at least two people per organisation, on a written form plus a short conversation, with the outcome and the reasons given to every candidate. The criteria are identical in all three countries: age 14–17 at the start date (eliminatory); motivation and willingness to run a local initiative afterwards (30%); first participation in a European mobility or any non-formal activity (25%, target 15 of 20); a situation limiting access to opportunities, declared voluntarily and confidentially (25%, target 12 of 20); gender and locality balance (20%).</w:t>
      </w:r>
    </w:p>
    <w:p>
      <w:pPr>
        <w:jc w:val="both"/>
      </w:pPr>
      <w:r>
        <w:rPr>
          <w:b/>
          <w:i w:val="0"/>
        </w:rPr>
        <w:t>English is not a selection criterion</w:t>
      </w:r>
      <w:r>
        <w:rPr>
          <w:b w:val="0"/>
          <w:i w:val="0"/>
        </w:rPr>
        <w:t xml:space="preserve"> and A2 is accepted: the programme is built on visual and practical methods, pair work and linguistic support from the group leaders, precisely so that language does not become a social filter. A language test at the door would convert the 12.5% who name lack of self-confidence as a barrier into exclusion.</w:t>
      </w:r>
    </w:p>
    <w:p>
      <w:pPr>
        <w:jc w:val="both"/>
      </w:pPr>
      <w:r>
        <w:rPr>
          <w:b/>
          <w:i w:val="0"/>
        </w:rPr>
        <w:t>Age.</w:t>
      </w:r>
      <w:r>
        <w:rPr>
          <w:b w:val="0"/>
          <w:i w:val="0"/>
        </w:rPr>
        <w:t xml:space="preserve"> All twenty participants are aged 14 to 17 at the start date. The band is deliberately tight, for three reasons that point the same way. They share the same need — the survey evidence behind this project describes exactly this age group. They are at a similar stage of development, so one register of language and one set of expectations about autonomy works for the whole room instead of two. And it lets us use one coherent set of non-formal methods — visual, practical, game-based, built on small mixed teams and peer teaching — that fits all of them. A band crossing into legal adulthood would also put minors and adults in the same accommodation, which is a safeguarding problem before it is a learning one.</w:t>
      </w:r>
    </w:p>
    <w:p>
      <w:pPr>
        <w:jc w:val="both"/>
      </w:pPr>
      <w:r>
        <w:rPr>
          <w:b/>
          <w:i w:val="0"/>
        </w:rPr>
        <w:t>Country and gender balance.</w:t>
      </w:r>
      <w:r>
        <w:rPr>
          <w:b w:val="0"/>
          <w:i w:val="0"/>
        </w:rPr>
        <w:t xml:space="preserve"> Three countries in near-equal groups: 7 Romania, 7 Türkiye, 6 Greece. No national group holds a majority of the twenty, and the smallest is the one with the longest journey, which is why it travels with two adults. The balance is enforced where it matters, in the working teams: the cohort is divided into </w:t>
      </w:r>
      <w:r>
        <w:rPr>
          <w:b/>
          <w:i w:val="0"/>
        </w:rPr>
        <w:t>four mixed teams of five, each containing members of all three national groups</w:t>
      </w:r>
      <w:r>
        <w:rPr>
          <w:b w:val="0"/>
          <w:i w:val="0"/>
        </w:rPr>
        <w:t>, recomposed daily, so every participant works with every nationality repeatedly rather than once. Gender balance is binding at group level, not an aspiration at project level: each national group includes at least 40% of each gender — three in a group of seven, two in a group of six — and the team of four group leaders is itself gender-balanced. Participants who do not identify within that binary are counted by their own declaration and are not required to declare anything. The activity coordinator checks both at selection and at final confirmation.</w:t>
      </w:r>
    </w:p>
    <w:p>
      <w:pPr>
        <w:jc w:val="both"/>
      </w:pPr>
      <w:r>
        <w:rPr>
          <w:b/>
          <w:i w:val="0"/>
        </w:rPr>
        <w:t>Group leaders.</w:t>
      </w:r>
      <w:r>
        <w:rPr>
          <w:b w:val="0"/>
          <w:i w:val="0"/>
        </w:rPr>
        <w:t xml:space="preserve"> Four, all 18 or over, experienced in youth work and in accompanying minors, staying with their groups throughout including at night: one Romania, one Türkiye, two Greece. Proposed: </w:t>
      </w:r>
      <w:r>
        <w:rPr>
          <w:b/>
          <w:i w:val="0"/>
        </w:rPr>
        <w:t>Livia Golovatic</w:t>
      </w:r>
      <w:r>
        <w:rPr>
          <w:b w:val="0"/>
          <w:i w:val="0"/>
        </w:rPr>
        <w:t xml:space="preserve"> (RO), </w:t>
      </w:r>
      <w:r>
        <w:rPr>
          <w:b/>
          <w:i w:val="0"/>
        </w:rPr>
        <w:t>M. Talha Serenli</w:t>
      </w:r>
      <w:r>
        <w:rPr>
          <w:b w:val="0"/>
          <w:i w:val="0"/>
        </w:rPr>
        <w:t xml:space="preserve"> (TR), and for Greece </w:t>
      </w:r>
      <w:r>
        <w:rPr>
          <w:b/>
          <w:i w:val="0"/>
        </w:rPr>
        <w:t>Evgenia Kalogeropoulou</w:t>
      </w:r>
      <w:r>
        <w:rPr>
          <w:b w:val="0"/>
          <w:i w:val="0"/>
        </w:rPr>
        <w:t xml:space="preserve">, a social worker trained in supporting vulnerable groups, with </w:t>
      </w:r>
      <w:r>
        <w:rPr>
          <w:b/>
          <w:i w:val="0"/>
        </w:rPr>
        <w:t>Ioulia Dialeisma</w:t>
      </w:r>
      <w:r>
        <w:rPr>
          <w:b w:val="0"/>
          <w:i w:val="0"/>
        </w:rPr>
        <w:t xml:space="preserve"> as second accompanying adult. [TO CONFIRM with the partners.] Each is responsible for safeguarding, the daily reflection in the group’s own language, attendance, the code of conduct, observing one mixed team on Day 4, and afterwards the group’s local initiative. Four leaders for twenty participants is below the National Call’s ceiling of one per four; with the two facilitators it gives six adults for twenty minors. All four take the two-day leaders’ briefing in month 4.</w:t>
      </w:r>
    </w:p>
    <w:p>
      <w:pPr>
        <w:spacing w:after="200"/>
      </w:pPr>
      <w:r>
        <w:rPr>
          <w:b w:val="0"/>
          <w:i/>
          <w:color w:val="5A5A5A"/>
          <w:sz w:val="16"/>
        </w:rPr>
        <w:t>≈ 5,985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i w:val="0"/>
        </w:rPr>
        <w:t>Where this project came from.</w:t>
      </w:r>
      <w:r>
        <w:rPr>
          <w:b w:val="0"/>
          <w:i w:val="0"/>
        </w:rPr>
        <w:t xml:space="preserve"> The subject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i w:val="0"/>
        </w:rPr>
        <w:t>Planning, months 1–4.</w:t>
      </w:r>
      <w:r>
        <w:rPr>
          <w:b w:val="0"/>
          <w:i w:val="0"/>
        </w:rPr>
        <w:t xml:space="preserve"> Once selected,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i w:val="0"/>
        </w:rPr>
        <w:t>During the mobility.</w:t>
      </w:r>
      <w:r>
        <w:rPr>
          <w:b w:val="0"/>
          <w:i w:val="0"/>
        </w:rPr>
        <w:t xml:space="preserve"> Every day has a host team of the day: a mixed team of three participants, one from each country, who open the day, keep the timing, run the energisers and close the day.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i w:val="0"/>
        </w:rPr>
        <w:t>Follow-up, months 6–18.</w:t>
      </w:r>
      <w:r>
        <w:rPr>
          <w:b w:val="0"/>
          <w:i w:val="0"/>
        </w:rPr>
        <w:t xml:space="preserve">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 as peer trainers in their later activities.</w:t>
      </w:r>
    </w:p>
    <w:p>
      <w:pPr>
        <w:spacing w:after="200"/>
      </w:pPr>
      <w:r>
        <w:rPr>
          <w:b w:val="0"/>
          <w:i/>
          <w:color w:val="5A5A5A"/>
          <w:sz w:val="16"/>
        </w:rPr>
        <w:t>≈ 4,125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will be developed?</w:t>
            </w:r>
          </w:p>
        </w:tc>
      </w:tr>
    </w:tbl>
    <w:p>
      <w:pPr>
        <w:spacing w:after="0"/>
      </w:pPr>
    </w:p>
    <w:p>
      <w:pPr>
        <w:jc w:val="both"/>
      </w:pPr>
      <w:r>
        <w:rPr>
          <w:b w:val="0"/>
          <w:i w:val="0"/>
        </w:rPr>
        <w:t>The learning outcomes are expressed against the eight European key competences for lifelong learning, the framework Youthpass uses, and each is tied to the sessions that build it and to the evidence that documents it. The rule is strict in both directions: no session exists in the programme without an entry here, and no competence is claimed without a session and a piece of evidence behind it.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Key competence</w:t>
            </w:r>
          </w:p>
        </w:tc>
        <w:tc>
          <w:tcPr>
            <w:tcW w:type="dxa" w:w="3742"/>
            <w:shd w:val="clear" w:color="auto" w:fill="E8EEF7"/>
          </w:tcPr>
          <w:p>
            <w:pPr>
              <w:spacing w:before="40" w:after="40"/>
            </w:pPr>
            <w:r/>
            <w:r>
              <w:rPr>
                <w:b/>
                <w:i w:val="0"/>
                <w:color w:val="003D82"/>
                <w:sz w:val="17"/>
              </w:rPr>
              <w:t>What the participant will be able to do</w:t>
            </w:r>
          </w:p>
        </w:tc>
        <w:tc>
          <w:tcPr>
            <w:tcW w:type="dxa" w:w="1701"/>
            <w:shd w:val="clear" w:color="auto" w:fill="E8EEF7"/>
          </w:tcPr>
          <w:p>
            <w:pPr>
              <w:spacing w:before="40" w:after="40"/>
            </w:pPr>
            <w:r/>
            <w:r>
              <w:rPr>
                <w:b/>
                <w:i w:val="0"/>
                <w:color w:val="003D82"/>
                <w:sz w:val="17"/>
              </w:rPr>
              <w:t>Sessions</w:t>
            </w:r>
          </w:p>
        </w:tc>
        <w:tc>
          <w:tcPr>
            <w:tcW w:type="dxa" w:w="2268"/>
            <w:shd w:val="clear" w:color="auto" w:fill="E8EEF7"/>
          </w:tcPr>
          <w:p>
            <w:pPr>
              <w:spacing w:before="40" w:after="40"/>
            </w:pPr>
            <w:r/>
            <w:r>
              <w:rPr>
                <w:b/>
                <w:i w:val="0"/>
                <w:color w:val="003D82"/>
                <w:sz w:val="17"/>
              </w:rPr>
              <w:t>Evidence</w:t>
            </w:r>
          </w:p>
        </w:tc>
      </w:tr>
      <w:tr>
        <w:tc>
          <w:tcPr>
            <w:tcW w:type="dxa" w:w="1701"/>
          </w:tcPr>
          <w:p>
            <w:pPr>
              <w:spacing w:before="40" w:after="40"/>
            </w:pPr>
            <w:r/>
            <w:r>
              <w:rPr>
                <w:b/>
                <w:i w:val="0"/>
                <w:sz w:val="17"/>
              </w:rPr>
              <w:t>KC4 Digital</w:t>
            </w:r>
            <w:r>
              <w:rPr>
                <w:b w:val="0"/>
                <w:i w:val="0"/>
                <w:sz w:val="17"/>
              </w:rPr>
              <w:t xml:space="preserve"> </w:t>
            </w:r>
            <w:r>
              <w:rPr>
                <w:b w:val="0"/>
                <w:i/>
                <w:sz w:val="17"/>
              </w:rPr>
              <w:t>primary</w:t>
            </w:r>
          </w:p>
        </w:tc>
        <w:tc>
          <w:tcPr>
            <w:tcW w:type="dxa" w:w="3742"/>
          </w:tcPr>
          <w:p>
            <w:pPr>
              <w:spacing w:before="40" w:after="40"/>
            </w:pPr>
            <w:r/>
            <w:r>
              <w:rPr>
                <w:b w:val="0"/>
                <w:i w:val="0"/>
                <w:sz w:val="17"/>
              </w:rPr>
              <w:t>Identify the source and the author of an online item; check its date and its original context; run a reverse image search; compare a claim against at least two independent sources; recognise the indicators of AI-generated text, image, audio and video; use AI tools in their own production ethically and with attribution.</w:t>
            </w:r>
          </w:p>
        </w:tc>
        <w:tc>
          <w:tcPr>
            <w:tcW w:type="dxa" w:w="1701"/>
          </w:tcPr>
          <w:p>
            <w:pPr>
              <w:spacing w:before="40" w:after="40"/>
            </w:pPr>
            <w:r/>
            <w:r>
              <w:rPr>
                <w:b w:val="0"/>
                <w:i w:val="0"/>
                <w:sz w:val="17"/>
              </w:rPr>
              <w:t>D1.3, D2.1, D2.2, D3.1, D3.2, D3.3, D4.1, D4.2, D6.1</w:t>
            </w:r>
          </w:p>
        </w:tc>
        <w:tc>
          <w:tcPr>
            <w:tcW w:type="dxa" w:w="2268"/>
          </w:tcPr>
          <w:p>
            <w:pPr>
              <w:spacing w:before="40" w:after="40"/>
            </w:pPr>
            <w:r/>
            <w:r>
              <w:rPr>
                <w:b w:val="0"/>
                <w:i w:val="0"/>
                <w:sz w:val="17"/>
              </w:rPr>
              <w:t>Baseline and final practical test; Day 4 observation grid on four named techniques; the AI-recognition sheet; the four media products.</w:t>
            </w:r>
          </w:p>
        </w:tc>
      </w:tr>
      <w:tr>
        <w:tc>
          <w:tcPr>
            <w:tcW w:type="dxa" w:w="1701"/>
          </w:tcPr>
          <w:p>
            <w:pPr>
              <w:spacing w:before="40" w:after="40"/>
            </w:pPr>
            <w:r/>
            <w:r>
              <w:rPr>
                <w:b/>
                <w:i w:val="0"/>
                <w:sz w:val="17"/>
              </w:rPr>
              <w:t>KC1 Literacy</w:t>
            </w:r>
            <w:r>
              <w:rPr>
                <w:b w:val="0"/>
                <w:i w:val="0"/>
                <w:sz w:val="17"/>
              </w:rPr>
              <w:t xml:space="preserve"> </w:t>
            </w:r>
            <w:r>
              <w:rPr>
                <w:b w:val="0"/>
                <w:i/>
                <w:sz w:val="17"/>
              </w:rPr>
              <w:t>primary</w:t>
            </w:r>
          </w:p>
        </w:tc>
        <w:tc>
          <w:tcPr>
            <w:tcW w:type="dxa" w:w="3742"/>
          </w:tcPr>
          <w:p>
            <w:pPr>
              <w:spacing w:before="40" w:after="40"/>
            </w:pPr>
            <w:r/>
            <w:r>
              <w:rPr>
                <w:b w:val="0"/>
                <w:i w:val="0"/>
                <w:sz w:val="17"/>
              </w:rPr>
              <w:t>Distinguish fact from opinion and from inference in a text; identify emotional framing, cropped context and false authority; construct a documented verdict in writing that another person can follow and check.</w:t>
            </w:r>
          </w:p>
        </w:tc>
        <w:tc>
          <w:tcPr>
            <w:tcW w:type="dxa" w:w="1701"/>
          </w:tcPr>
          <w:p>
            <w:pPr>
              <w:spacing w:before="40" w:after="40"/>
            </w:pPr>
            <w:r/>
            <w:r>
              <w:rPr>
                <w:b w:val="0"/>
                <w:i w:val="0"/>
                <w:sz w:val="17"/>
              </w:rPr>
              <w:t>D2.1, D2.2, D2.3, D4.1, D4.2, D4.3</w:t>
            </w:r>
          </w:p>
        </w:tc>
        <w:tc>
          <w:tcPr>
            <w:tcW w:type="dxa" w:w="2268"/>
          </w:tcPr>
          <w:p>
            <w:pPr>
              <w:spacing w:before="40" w:after="40"/>
            </w:pPr>
            <w:r/>
            <w:r>
              <w:rPr>
                <w:b w:val="0"/>
                <w:i w:val="0"/>
                <w:sz w:val="17"/>
              </w:rPr>
              <w:t>The manipulation-techniques grid produced by the participants; four written verdicts with their sources.</w:t>
            </w:r>
          </w:p>
        </w:tc>
      </w:tr>
      <w:tr>
        <w:tc>
          <w:tcPr>
            <w:tcW w:type="dxa" w:w="1701"/>
          </w:tcPr>
          <w:p>
            <w:pPr>
              <w:spacing w:before="40" w:after="40"/>
            </w:pPr>
            <w:r/>
            <w:r>
              <w:rPr>
                <w:b/>
                <w:i w:val="0"/>
                <w:sz w:val="17"/>
              </w:rPr>
              <w:t>KC6 Citizenship</w:t>
            </w:r>
            <w:r>
              <w:rPr>
                <w:b w:val="0"/>
                <w:i w:val="0"/>
                <w:sz w:val="17"/>
              </w:rPr>
              <w:t xml:space="preserve"> </w:t>
            </w:r>
            <w:r>
              <w:rPr>
                <w:b w:val="0"/>
                <w:i/>
                <w:sz w:val="17"/>
              </w:rPr>
              <w:t>primary</w:t>
            </w:r>
          </w:p>
        </w:tc>
        <w:tc>
          <w:tcPr>
            <w:tcW w:type="dxa" w:w="3742"/>
          </w:tcPr>
          <w:p>
            <w:pPr>
              <w:spacing w:before="40" w:after="40"/>
            </w:pPr>
            <w:r/>
            <w:r>
              <w:rPr>
                <w:b w:val="0"/>
                <w:i w:val="0"/>
                <w:sz w:val="17"/>
              </w:rPr>
              <w:t>Explain why verification is a precondition of democratic participation; argue a position with evidence and accept being refuted by evidence; take part in dialogue with community members and local institutions; design and run an activity that serves their own community.</w:t>
            </w:r>
          </w:p>
        </w:tc>
        <w:tc>
          <w:tcPr>
            <w:tcW w:type="dxa" w:w="1701"/>
          </w:tcPr>
          <w:p>
            <w:pPr>
              <w:spacing w:before="40" w:after="40"/>
            </w:pPr>
            <w:r/>
            <w:r>
              <w:rPr>
                <w:b w:val="0"/>
                <w:i w:val="0"/>
                <w:sz w:val="17"/>
              </w:rPr>
              <w:t>D1.2, D2.3, D5.1, D5.2, D6.3, D7.1</w:t>
            </w:r>
          </w:p>
        </w:tc>
        <w:tc>
          <w:tcPr>
            <w:tcW w:type="dxa" w:w="2268"/>
          </w:tcPr>
          <w:p>
            <w:pPr>
              <w:spacing w:before="40" w:after="40"/>
            </w:pPr>
            <w:r/>
            <w:r>
              <w:rPr>
                <w:b w:val="0"/>
                <w:i w:val="0"/>
                <w:sz w:val="17"/>
              </w:rPr>
              <w:t>The group agreement; the Day 5 record of local rumours; the four local initiative plans and the initiatives themselves.</w:t>
            </w:r>
          </w:p>
        </w:tc>
      </w:tr>
      <w:tr>
        <w:tc>
          <w:tcPr>
            <w:tcW w:type="dxa" w:w="1701"/>
          </w:tcPr>
          <w:p>
            <w:pPr>
              <w:spacing w:before="40" w:after="40"/>
            </w:pPr>
            <w:r/>
            <w:r>
              <w:rPr>
                <w:b/>
                <w:i w:val="0"/>
                <w:sz w:val="17"/>
              </w:rPr>
              <w:t>KC5 Personal, social, learning to learn</w:t>
            </w:r>
            <w:r>
              <w:rPr>
                <w:b w:val="0"/>
                <w:i w:val="0"/>
                <w:sz w:val="17"/>
              </w:rPr>
              <w:t xml:space="preserve"> </w:t>
            </w:r>
            <w:r>
              <w:rPr>
                <w:b w:val="0"/>
                <w:i/>
                <w:sz w:val="17"/>
              </w:rPr>
              <w:t>primary</w:t>
            </w:r>
          </w:p>
        </w:tc>
        <w:tc>
          <w:tcPr>
            <w:tcW w:type="dxa" w:w="3742"/>
          </w:tcPr>
          <w:p>
            <w:pPr>
              <w:spacing w:before="40" w:after="40"/>
            </w:pPr>
            <w:r/>
            <w:r>
              <w:rPr>
                <w:b w:val="0"/>
                <w:i w:val="0"/>
                <w:sz w:val="17"/>
              </w:rPr>
              <w:t>Assess their own media habits and name their own weak points; recognise that they were wrong about a claim and say so; work in a mixed international team; set a learning target and evaluate their progress against it.</w:t>
            </w:r>
          </w:p>
        </w:tc>
        <w:tc>
          <w:tcPr>
            <w:tcW w:type="dxa" w:w="1701"/>
          </w:tcPr>
          <w:p>
            <w:pPr>
              <w:spacing w:before="40" w:after="40"/>
            </w:pPr>
            <w:r/>
            <w:r>
              <w:rPr>
                <w:b w:val="0"/>
                <w:i w:val="0"/>
                <w:sz w:val="17"/>
              </w:rPr>
              <w:t>D1.3, D2.2, every daily reflection group, D7.2</w:t>
            </w:r>
          </w:p>
        </w:tc>
        <w:tc>
          <w:tcPr>
            <w:tcW w:type="dxa" w:w="2268"/>
          </w:tcPr>
          <w:p>
            <w:pPr>
              <w:spacing w:before="40" w:after="40"/>
            </w:pPr>
            <w:r/>
            <w:r>
              <w:rPr>
                <w:b w:val="0"/>
                <w:i w:val="0"/>
                <w:sz w:val="17"/>
              </w:rPr>
              <w:t>“My Digital Map” from Day 1 compared with the Day 7 reflection; the individual learning diary; Youthpass.</w:t>
            </w:r>
          </w:p>
        </w:tc>
      </w:tr>
      <w:tr>
        <w:tc>
          <w:tcPr>
            <w:tcW w:type="dxa" w:w="1701"/>
          </w:tcPr>
          <w:p>
            <w:pPr>
              <w:spacing w:before="40" w:after="40"/>
            </w:pPr>
            <w:r/>
            <w:r>
              <w:rPr>
                <w:b/>
                <w:i w:val="0"/>
                <w:sz w:val="17"/>
              </w:rPr>
              <w:t>KC2 Multilingual</w:t>
            </w:r>
          </w:p>
        </w:tc>
        <w:tc>
          <w:tcPr>
            <w:tcW w:type="dxa" w:w="3742"/>
          </w:tcPr>
          <w:p>
            <w:pPr>
              <w:spacing w:before="40" w:after="40"/>
            </w:pPr>
            <w:r/>
            <w:r>
              <w:rPr>
                <w:b w:val="0"/>
                <w:i w:val="0"/>
                <w:sz w:val="17"/>
              </w:rPr>
              <w:t>Work and produce a shared result in English at a functional level; support and be supported across languages; understand that information circulates differently inside a minority language.</w:t>
            </w:r>
          </w:p>
        </w:tc>
        <w:tc>
          <w:tcPr>
            <w:tcW w:type="dxa" w:w="1701"/>
          </w:tcPr>
          <w:p>
            <w:pPr>
              <w:spacing w:before="40" w:after="40"/>
            </w:pPr>
            <w:r/>
            <w:r>
              <w:rPr>
                <w:b w:val="0"/>
                <w:i w:val="0"/>
                <w:sz w:val="17"/>
              </w:rPr>
              <w:t>All mixed-team sessions; D2.3, D5.3</w:t>
            </w:r>
          </w:p>
        </w:tc>
        <w:tc>
          <w:tcPr>
            <w:tcW w:type="dxa" w:w="2268"/>
          </w:tcPr>
          <w:p>
            <w:pPr>
              <w:spacing w:before="40" w:after="40"/>
            </w:pPr>
            <w:r/>
            <w:r>
              <w:rPr>
                <w:b w:val="0"/>
                <w:i w:val="0"/>
                <w:sz w:val="17"/>
              </w:rPr>
              <w:t>The manipulation grid produced in four languages; the media products in English plus a local language.</w:t>
            </w:r>
          </w:p>
        </w:tc>
      </w:tr>
      <w:tr>
        <w:tc>
          <w:tcPr>
            <w:tcW w:type="dxa" w:w="1701"/>
          </w:tcPr>
          <w:p>
            <w:pPr>
              <w:spacing w:before="40" w:after="40"/>
            </w:pPr>
            <w:r/>
            <w:r>
              <w:rPr>
                <w:b/>
                <w:i w:val="0"/>
                <w:sz w:val="17"/>
              </w:rPr>
              <w:t>KC8 Cultural awareness and expression</w:t>
            </w:r>
          </w:p>
        </w:tc>
        <w:tc>
          <w:tcPr>
            <w:tcW w:type="dxa" w:w="3742"/>
          </w:tcPr>
          <w:p>
            <w:pPr>
              <w:spacing w:before="40" w:after="40"/>
            </w:pPr>
            <w:r/>
            <w:r>
              <w:rPr>
                <w:b w:val="0"/>
                <w:i w:val="0"/>
                <w:sz w:val="17"/>
              </w:rPr>
              <w:t>Recognise how stereotypes about their own and other communities are built and amplified; present a message visually and narratively; understand the host community from inside it.</w:t>
            </w:r>
          </w:p>
        </w:tc>
        <w:tc>
          <w:tcPr>
            <w:tcW w:type="dxa" w:w="1701"/>
          </w:tcPr>
          <w:p>
            <w:pPr>
              <w:spacing w:before="40" w:after="40"/>
            </w:pPr>
            <w:r/>
            <w:r>
              <w:rPr>
                <w:b w:val="0"/>
                <w:i w:val="0"/>
                <w:sz w:val="17"/>
              </w:rPr>
              <w:t>D2.2, D5.2, D5.3, D6.1, D6.2</w:t>
            </w:r>
          </w:p>
        </w:tc>
        <w:tc>
          <w:tcPr>
            <w:tcW w:type="dxa" w:w="2268"/>
          </w:tcPr>
          <w:p>
            <w:pPr>
              <w:spacing w:before="40" w:after="40"/>
            </w:pPr>
            <w:r/>
            <w:r>
              <w:rPr>
                <w:b w:val="0"/>
                <w:i w:val="0"/>
                <w:sz w:val="17"/>
              </w:rPr>
              <w:t>The stereotype analysis in mixed teams; the intercultural evening; the four media products.</w:t>
            </w:r>
          </w:p>
        </w:tc>
      </w:tr>
      <w:tr>
        <w:tc>
          <w:tcPr>
            <w:tcW w:type="dxa" w:w="1701"/>
          </w:tcPr>
          <w:p>
            <w:pPr>
              <w:spacing w:before="40" w:after="40"/>
            </w:pPr>
            <w:r/>
            <w:r>
              <w:rPr>
                <w:b/>
                <w:i w:val="0"/>
                <w:sz w:val="17"/>
              </w:rPr>
              <w:t>KC7 Entrepreneurship</w:t>
            </w:r>
          </w:p>
        </w:tc>
        <w:tc>
          <w:tcPr>
            <w:tcW w:type="dxa" w:w="3742"/>
          </w:tcPr>
          <w:p>
            <w:pPr>
              <w:spacing w:before="40" w:after="40"/>
            </w:pPr>
            <w:r/>
            <w:r>
              <w:rPr>
                <w:b w:val="0"/>
                <w:i w:val="0"/>
                <w:sz w:val="17"/>
              </w:rPr>
              <w:t>Turn an idea into a plan with a date, a venue, an audience, partners and named responsibilities; carry it out and report on it.</w:t>
            </w:r>
          </w:p>
        </w:tc>
        <w:tc>
          <w:tcPr>
            <w:tcW w:type="dxa" w:w="1701"/>
          </w:tcPr>
          <w:p>
            <w:pPr>
              <w:spacing w:before="40" w:after="40"/>
            </w:pPr>
            <w:r/>
            <w:r>
              <w:rPr>
                <w:b w:val="0"/>
                <w:i w:val="0"/>
                <w:sz w:val="17"/>
              </w:rPr>
              <w:t>D6.3 and the four local initiatives, months 6–15</w:t>
            </w:r>
          </w:p>
        </w:tc>
        <w:tc>
          <w:tcPr>
            <w:tcW w:type="dxa" w:w="2268"/>
          </w:tcPr>
          <w:p>
            <w:pPr>
              <w:spacing w:before="40" w:after="40"/>
            </w:pPr>
            <w:r/>
            <w:r>
              <w:rPr>
                <w:b w:val="0"/>
                <w:i w:val="0"/>
                <w:sz w:val="17"/>
              </w:rPr>
              <w:t>The four initiative plans with owners and deadlines; the reports on the initiatives held.</w:t>
            </w:r>
          </w:p>
        </w:tc>
      </w:tr>
      <w:tr>
        <w:tc>
          <w:tcPr>
            <w:tcW w:type="dxa" w:w="1701"/>
          </w:tcPr>
          <w:p>
            <w:pPr>
              <w:spacing w:before="40" w:after="40"/>
            </w:pPr>
            <w:r/>
            <w:r>
              <w:rPr>
                <w:b/>
                <w:i w:val="0"/>
                <w:sz w:val="17"/>
              </w:rPr>
              <w:t>KC3 Mathematical, science and technology</w:t>
            </w:r>
            <w:r>
              <w:rPr>
                <w:b w:val="0"/>
                <w:i w:val="0"/>
                <w:sz w:val="17"/>
              </w:rPr>
              <w:t xml:space="preserve"> </w:t>
            </w:r>
            <w:r>
              <w:rPr>
                <w:b w:val="0"/>
                <w:i/>
                <w:sz w:val="17"/>
              </w:rPr>
              <w:t>secondary</w:t>
            </w:r>
          </w:p>
        </w:tc>
        <w:tc>
          <w:tcPr>
            <w:tcW w:type="dxa" w:w="3742"/>
          </w:tcPr>
          <w:p>
            <w:pPr>
              <w:spacing w:before="40" w:after="40"/>
            </w:pPr>
            <w:r/>
            <w:r>
              <w:rPr>
                <w:b w:val="0"/>
                <w:i w:val="0"/>
                <w:sz w:val="17"/>
              </w:rPr>
              <w:t>Read a statistic critically: check the population measured, the year, the sample and what the figure does not say; recognise a graph designed to mislead.</w:t>
            </w:r>
          </w:p>
        </w:tc>
        <w:tc>
          <w:tcPr>
            <w:tcW w:type="dxa" w:w="1701"/>
          </w:tcPr>
          <w:p>
            <w:pPr>
              <w:spacing w:before="40" w:after="40"/>
            </w:pPr>
            <w:r/>
            <w:r>
              <w:rPr>
                <w:b w:val="0"/>
                <w:i w:val="0"/>
                <w:sz w:val="17"/>
              </w:rPr>
              <w:t>D2.1, D4.1</w:t>
            </w:r>
          </w:p>
        </w:tc>
        <w:tc>
          <w:tcPr>
            <w:tcW w:type="dxa" w:w="2268"/>
          </w:tcPr>
          <w:p>
            <w:pPr>
              <w:spacing w:before="40" w:after="40"/>
            </w:pPr>
            <w:r/>
            <w:r>
              <w:rPr>
                <w:b w:val="0"/>
                <w:i w:val="0"/>
                <w:sz w:val="17"/>
              </w:rPr>
              <w:t>The statistics exercise inside D2.1; the verdicts, where numerical claims appear.</w:t>
            </w:r>
          </w:p>
        </w:tc>
      </w:tr>
    </w:tbl>
    <w:p>
      <w:pPr>
        <w:spacing w:after="0"/>
      </w:pPr>
    </w:p>
    <w:p>
      <w:pPr>
        <w:jc w:val="both"/>
      </w:pPr>
      <w:r>
        <w:rPr>
          <w:b/>
          <w:i w:val="0"/>
        </w:rPr>
        <w:t>What we do not claim.</w:t>
      </w:r>
      <w:r>
        <w:rPr>
          <w:b w:val="0"/>
          <w:i w:val="0"/>
        </w:rPr>
        <w:t xml:space="preserve"> Seven days do not produce expert fact-checkers. What they produce is a reflex — the pause before sharing — and four techniques the participant can actually perform, which is what objective O2 measures and what the observation grid records.</w:t>
      </w:r>
    </w:p>
    <w:p>
      <w:pPr>
        <w:spacing w:after="200"/>
      </w:pPr>
      <w:r>
        <w:rPr>
          <w:b w:val="0"/>
          <w:i/>
          <w:color w:val="5A5A5A"/>
          <w:sz w:val="16"/>
        </w:rPr>
        <w:t>≈ 3,767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non-formal learning methods and the daily programme.</w:t>
            </w:r>
          </w:p>
        </w:tc>
      </w:tr>
    </w:tbl>
    <w:p>
      <w:pPr>
        <w:spacing w:after="0"/>
      </w:pPr>
    </w:p>
    <w:p>
      <w:pPr>
        <w:jc w:val="both"/>
      </w:pPr>
      <w:r>
        <w:rPr>
          <w:b/>
          <w:i w:val="0"/>
        </w:rPr>
        <w:t>Venue.</w:t>
      </w:r>
      <w:r>
        <w:rPr>
          <w:b w:val="0"/>
          <w:i w:val="0"/>
        </w:rPr>
        <w:t xml:space="preserve"> An accommodation unit inside the Napoca Porolissum territory, in the Apuseni Mountains, Cluj County — not a neutral host city: 58.5% of the young people we surveyed asked for activities in or near their own locality, and the host community is part of the programme on Day 5. Requirements: 30 places, a plenary room, four small-team spaces, stable internet, accessibility. [TO CONFIRM: the unit, with a written offer.]</w:t>
      </w:r>
    </w:p>
    <w:p>
      <w:pPr>
        <w:jc w:val="both"/>
      </w:pPr>
      <w:r>
        <w:rPr>
          <w:b/>
          <w:i w:val="0"/>
        </w:rPr>
        <w:t>Non-formal learning methods.</w:t>
      </w:r>
      <w:r>
        <w:rPr>
          <w:b w:val="0"/>
          <w:i w:val="0"/>
        </w:rPr>
        <w:t xml:space="preserve"> Learning through controlled error is the central method: participants receive the false material, commit to a judgement, and only then learn the verdict — the surprise is the instrument that works on overconfidence, used on Day 2 before any teaching. Around it: mixed teams recomposed daily; simulation and role play (the verification newsroom D4.1, the information tribunal D2.3, the escape room D3.3); structured debate under the rule that every claim must be evidenced, facilitators included; peer teaching (D3.2); media production as applied learning on Day 6; daily reflection in the national group in the participant’s own language, then in plenary, with a learning diary, and what comes out of it visibly changes the next day (D1.5, D2.4, D3.5, D4.4, D6.4); and outdoor activities in the territory. There are no lectures: every session produces an output or a decision taken by the participants — 68.1% of those we surveyed learn through practical activities.</w:t>
      </w:r>
    </w:p>
    <w:p>
      <w:pPr>
        <w:jc w:val="both"/>
      </w:pPr>
      <w:r>
        <w:rPr>
          <w:b/>
          <w:i w:val="0"/>
        </w:rPr>
        <w:t>Daily programme.</w:t>
      </w:r>
      <w:r>
        <w:rPr>
          <w:b w:val="0"/>
          <w:i w:val="0"/>
        </w:rPr>
        <w:t xml:space="preserve"> Travel days 8 and 16 August. Day 0: arrival, accommodation, guided safety tour with an evacuation drill (D0.1).</w:t>
      </w:r>
    </w:p>
    <w:p>
      <w:pPr>
        <w:jc w:val="both"/>
      </w:pPr>
      <w:r>
        <w:rPr>
          <w:b/>
          <w:i w:val="0"/>
        </w:rPr>
        <w:t>Day 1 — who we are and what we consume.</w:t>
      </w:r>
      <w:r>
        <w:rPr>
          <w:b w:val="0"/>
          <w:i w:val="0"/>
        </w:rPr>
        <w:t xml:space="preserve"> O1, O2. The group forms itself and looks at its own habits before anyone teaches: mixed-team formation (D1.1), the group agreement the participants negotiate themselves, with non-discrimination and respect for all languages present as non-negotiable clauses (D1.2), “My Digital Map”, in which each maps one ordinary day of their own media diet (D1.3), and the safety, safeguarding and Youthpass briefing (D1.4). Outputs: four mixed teams of five, each with members of all three national groups; a signed group agreement; 20 digital maps kept for Day 7. Claudiu Iancu and Marilena Georgescu with Facilitator 1.</w:t>
      </w:r>
    </w:p>
    <w:p>
      <w:pPr>
        <w:jc w:val="both"/>
      </w:pPr>
      <w:r>
        <w:rPr>
          <w:b/>
          <w:i w:val="0"/>
        </w:rPr>
        <w:t>Day 2 — Spot the Fake.</w:t>
      </w:r>
      <w:r>
        <w:rPr>
          <w:b w:val="0"/>
          <w:i w:val="0"/>
        </w:rPr>
        <w:t xml:space="preserve"> O1, O2. The controlled-error day: teams commit to a verdict on a mixed set of real and false items, including two misleading statistics and a manipulated graph, before the answer key is revealed (D2.1); then the mechanics of manipulation — emotional headlines, cropped context, false authority, numbers out of context — worked on the real cases their own communities brought, including content carrying ethnic, gender and migration stereotypes (D2.2); and a debate on where opinion ends and falsehood begins (D2.3). Output: the manipulation grid in four languages. Claudiu Iancu with Facilitators 1 and 2; KEA leads the strand on information in small island communities.</w:t>
      </w:r>
    </w:p>
    <w:p>
      <w:pPr>
        <w:jc w:val="both"/>
      </w:pPr>
      <w:r>
        <w:rPr>
          <w:b/>
          <w:i w:val="0"/>
        </w:rPr>
        <w:t>Day 3 — AI or human?</w:t>
      </w:r>
      <w:r>
        <w:rPr>
          <w:b w:val="0"/>
          <w:i w:val="0"/>
        </w:rPr>
        <w:t xml:space="preserve"> O1, O2. Participants generate AI content themselves and try to fool each other, then write their own recognition sheet (D3.1); four teams each test a free verification tool and teach it to the others (D3.2); the verification route is drilled as an escape room until automatic (D3.3); the group writes the AI-use rule it will apply on Day 6 (D3.4). Outputs: the AI-recognition sheet, an annotated tool list with one national verification resource per partner country, the group’s AI-use rule. Tahsin Altay and the GGD facilitator, with Claudiu Iancu and Livia Golovatic.</w:t>
      </w:r>
    </w:p>
    <w:p>
      <w:pPr>
        <w:jc w:val="both"/>
      </w:pPr>
      <w:r>
        <w:rPr>
          <w:b/>
          <w:i w:val="0"/>
        </w:rPr>
        <w:t>Day 4 — fact-checkers for a day. The assessed day.</w:t>
      </w:r>
      <w:r>
        <w:rPr>
          <w:b w:val="0"/>
          <w:i w:val="0"/>
        </w:rPr>
        <w:t xml:space="preserve"> O2. A three-hour verification newsroom in which mixed teams take real viral claims through the full route to a documented verdict, facilitators intervening only when asked (D4.1). This is where the observation grid for O2 is applied: each of the four group leaders observes one mixed team, Facilitators 1 and 2 independently double-score five participants each — half the cohort scored twice — and the Learning Programme Coordinator moderates without scoring. Then cross-examination of each verdict (D4.2) and a collective analysis of the day’s errors, the facilitators’ included (D4.3). Outputs: four documented verdicts with sources, and per-participant data on all four techniques.</w:t>
      </w:r>
    </w:p>
    <w:p>
      <w:pPr>
        <w:jc w:val="both"/>
      </w:pPr>
      <w:r>
        <w:rPr>
          <w:b/>
          <w:i w:val="0"/>
        </w:rPr>
        <w:t>Day 5 — community and intercultural day.</w:t>
      </w:r>
      <w:r>
        <w:rPr>
          <w:b w:val="0"/>
          <w:i w:val="0"/>
        </w:rPr>
        <w:t xml:space="preserve"> O3. A visit to a village of the territory (D5.1) and a facilitated dialogue with residents and municipal representatives on the rumours circulating there and who gets hurt (D5.2) — that record becomes the working material for Day 6. The intercultural evening closes the day (D5.3). Method led by KEA’s social worker and counsellor, local relationship by Livia Golovatic.</w:t>
      </w:r>
    </w:p>
    <w:p>
      <w:pPr>
        <w:jc w:val="both"/>
      </w:pPr>
      <w:r>
        <w:rPr>
          <w:b/>
          <w:i w:val="0"/>
        </w:rPr>
        <w:t>Day 6 — Make It, Don’t Fake It.</w:t>
      </w:r>
      <w:r>
        <w:rPr>
          <w:b w:val="0"/>
          <w:i w:val="0"/>
        </w:rPr>
        <w:t xml:space="preserve"> O3. Led by GGD: how a short video or infographic is built to be clear and honest (D6.1), then production, each team debunking a Day 5 myth under the AI-use rule the group wrote on Day 3 (D6.2). In parallel the national groups plan their local initiatives on a common template supplied by KEA — date, venue, audience, partner, responsibilities, indicator (D6.3). Outputs: four media products in English plus a local language, four initiative plans with named owners and deadlines.</w:t>
      </w:r>
    </w:p>
    <w:p>
      <w:pPr>
        <w:jc w:val="both"/>
      </w:pPr>
      <w:r>
        <w:rPr>
          <w:b/>
          <w:i w:val="0"/>
        </w:rPr>
        <w:t>Day 7 — presentation, evaluation, Youthpass.</w:t>
      </w:r>
      <w:r>
        <w:rPr>
          <w:b w:val="0"/>
          <w:i w:val="0"/>
        </w:rPr>
        <w:t xml:space="preserve"> O1, O2, O3. A public presentation by the participants to guests from the community, the municipalities and the press (D7.1); the Youthpass session, where each participant re-reads their Day 1 digital map against their learning diary and names, with evidence, what changed (D7.2); a participatory evaluation (D7.3); and the written, public commitments to the four local initiatives (D7.4). Outputs: 20 Youthpass certificates plus 4 for the group leaders, four signed commitments with dates.</w:t>
      </w:r>
    </w:p>
    <w:p>
      <w:pPr>
        <w:jc w:val="both"/>
      </w:pPr>
      <w:r>
        <w:rPr>
          <w:b w:val="0"/>
          <w:i w:val="0"/>
        </w:rPr>
        <w:t>The full programme is annexed as the project timetable, where every session carries five attributes: the objective it serves, the non-formal method, the key competences it builds, the output it produces and the person responsible. The session codes above match the competence matrix and the timetable exactly.</w:t>
      </w:r>
    </w:p>
    <w:p>
      <w:pPr>
        <w:spacing w:after="200"/>
      </w:pPr>
      <w:r>
        <w:rPr>
          <w:b w:val="0"/>
          <w:i/>
          <w:color w:val="5A5A5A"/>
          <w:sz w:val="16"/>
        </w:rPr>
        <w:t>≈ 5,990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i w:val="0"/>
        </w:rPr>
        <w:t>Before.</w:t>
      </w:r>
      <w:r>
        <w:rPr>
          <w:b w:val="0"/>
          <w:i w:val="0"/>
        </w:rPr>
        <w:t xml:space="preserve">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i w:val="0"/>
        </w:rPr>
        <w:t>During.</w:t>
      </w:r>
      <w:r>
        <w:rPr>
          <w:b w:val="0"/>
          <w:i w:val="0"/>
        </w:rPr>
        <w:t xml:space="preserve"> Mixed teams recomposed daily; the host team of the day; the daily reflection cycle running from the national group into the plenary; and a visible feedback loop, where changes requested one evening appear in the next day’s programme.</w:t>
      </w:r>
    </w:p>
    <w:p>
      <w:pPr>
        <w:jc w:val="both"/>
      </w:pPr>
      <w:r>
        <w:rPr>
          <w:b/>
          <w:i w:val="0"/>
        </w:rPr>
        <w:t>After.</w:t>
      </w:r>
      <w:r>
        <w:rPr>
          <w:b w:val="0"/>
          <w:i w:val="0"/>
        </w:rPr>
        <w:t xml:space="preserv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1,586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i w:val="0"/>
        </w:rPr>
        <w:t>Before.</w:t>
      </w:r>
      <w:r>
        <w:rPr>
          <w:b w:val="0"/>
          <w:i w:val="0"/>
        </w:rPr>
        <w:t xml:space="preserve"> Preparation runs over four months, not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pStyle w:val="ListBullet"/>
        <w:spacing w:after="40"/>
        <w:ind w:left="340"/>
      </w:pPr>
      <w:r>
        <w:rPr>
          <w:b/>
          <w:i w:val="0"/>
        </w:rPr>
        <w:t>Baseline, month 2.</w:t>
      </w:r>
      <w:r>
        <w:rPr>
          <w:b w:val="0"/>
          <w:i w:val="0"/>
        </w:rPr>
        <w:t xml:space="preserve"> The 15-item practical verification test is taken by all 20 participants before any learning activity, with a short questionnaire on media habits. It establishes the starting value for O1 and tells the facilitators what the group actually cannot do — which is not always what they say they cannot do.</w:t>
      </w:r>
    </w:p>
    <w:p>
      <w:pPr>
        <w:pStyle w:val="ListBullet"/>
        <w:spacing w:after="40"/>
        <w:ind w:left="340"/>
      </w:pPr>
      <w:r>
        <w:rPr>
          <w:b/>
          <w:i w:val="0"/>
        </w:rPr>
        <w:t>Four joint online sessions, months 3–4</w:t>
      </w:r>
      <w:r>
        <w:rPr>
          <w:b w:val="0"/>
          <w:i w:val="0"/>
        </w:rPr>
        <w:t>, 90 minutes each, in mixed national teams: meeting each other and drafting the group agreement; choosing the local cases to be analysed; distributing roles and preparing the intercultural evening; safety, digital rules and practical arrangements.</w:t>
      </w:r>
    </w:p>
    <w:p>
      <w:pPr>
        <w:pStyle w:val="ListBullet"/>
        <w:spacing w:after="40"/>
        <w:ind w:left="340"/>
      </w:pPr>
      <w:r>
        <w:rPr>
          <w:b/>
          <w:i w:val="0"/>
        </w:rPr>
        <w:t>Linguistic preparation.</w:t>
      </w:r>
      <w:r>
        <w:rPr>
          <w:b w:val="0"/>
          <w:i w:val="0"/>
        </w:rPr>
        <w:t xml:space="preserve"> A “detective’s glossary” of about 60 working terms in four languages — English, Romanian (with Hungarian equivalents), Turkish and Greek — produced with the participants rather than handed to them, plus two light conversation sessions inside the online meetings. The aim is functional confidence, not language teaching: A2 is enough, and the programme is built so that it is.</w:t>
      </w:r>
    </w:p>
    <w:p>
      <w:pPr>
        <w:pStyle w:val="ListBullet"/>
        <w:spacing w:after="40"/>
        <w:ind w:left="340"/>
      </w:pPr>
      <w:r>
        <w:rPr>
          <w:b/>
          <w:i w:val="0"/>
        </w:rPr>
        <w:t>Intercultural preparation.</w:t>
      </w:r>
      <w:r>
        <w:rPr>
          <w:b w:val="0"/>
          <w:i w:val="0"/>
        </w:rPr>
        <w:t xml:space="preserve"> Each group prepares a short presentation of its own community for the intercultural evening, including its language. Group leaders run a session on expectations and stereotypes before departure — deliberately, since the project itself works on stereotypes.</w:t>
      </w:r>
    </w:p>
    <w:p>
      <w:pPr>
        <w:pStyle w:val="ListBullet"/>
        <w:spacing w:after="40"/>
        <w:ind w:left="340"/>
      </w:pPr>
      <w:r>
        <w:rPr>
          <w:b/>
          <w:i w:val="0"/>
        </w:rPr>
        <w:t>Risk prevention and safeguarding.</w:t>
      </w:r>
      <w:r>
        <w:rPr>
          <w:b w:val="0"/>
          <w:i w:val="0"/>
        </w:rPr>
        <w:t xml:space="preserve"> Each participant and each parent receives a participant pack: programme, house rules, code of conduct, contact chain, emergency numbers, the safeguarding focal point’s name and direct contact, and the media and consent rules. An online meeting is held with the parents, in each country in its own language, where questions are answered live.</w:t>
      </w:r>
    </w:p>
    <w:p>
      <w:pPr>
        <w:pStyle w:val="ListBullet"/>
        <w:spacing w:after="40"/>
        <w:ind w:left="340"/>
      </w:pPr>
      <w:r>
        <w:rPr>
          <w:b/>
          <w:i w:val="0"/>
        </w:rPr>
        <w:t>Practical.</w:t>
      </w:r>
      <w:r>
        <w:rPr>
          <w:b w:val="0"/>
          <w:i w:val="0"/>
        </w:rPr>
        <w:t xml:space="preserve"> Parental consents, travel and medical insurance, medical information sheets, dietary and accessibility requirements, travel bookings. For the Turkish group the visa procedure starts in month 3.</w:t>
      </w:r>
    </w:p>
    <w:p>
      <w:pPr>
        <w:pStyle w:val="ListBullet"/>
        <w:spacing w:after="40"/>
        <w:ind w:left="340"/>
      </w:pPr>
      <w:r>
        <w:rPr>
          <w:b/>
          <w:i w:val="0"/>
        </w:rPr>
        <w:t>Group leaders’ briefing, month 4:</w:t>
      </w:r>
      <w:r>
        <w:rPr>
          <w:b w:val="0"/>
          <w:i w:val="0"/>
        </w:rPr>
        <w:t xml:space="preserve"> two online half-days on safeguarding, the escalation chain, facilitating reflection, and the calibrated use of the observation grid across six different observers.</w:t>
      </w:r>
    </w:p>
    <w:p>
      <w:pPr>
        <w:pStyle w:val="ListBullet"/>
        <w:spacing w:after="40"/>
        <w:ind w:left="340"/>
      </w:pPr>
      <w:r>
        <w:rPr>
          <w:b/>
          <w:i w:val="0"/>
        </w:rPr>
        <w:t>Inclusion support, prepared individually.</w:t>
      </w:r>
      <w:r>
        <w:rPr>
          <w:b w:val="0"/>
          <w:i w:val="0"/>
        </w:rPr>
        <w:t xml:space="preserve"> Where a participant needs support beyond the standard arrangements, it is identified here, in the preparation phase, costed on a separate line, and justified by what it makes possible — not requested as a lump sum and explained afterwards.</w:t>
      </w:r>
    </w:p>
    <w:p>
      <w:pPr>
        <w:jc w:val="both"/>
      </w:pPr>
      <w:r>
        <w:rPr>
          <w:b/>
          <w:i w:val="0"/>
        </w:rPr>
        <w:t>During.</w:t>
      </w:r>
      <w:r>
        <w:rPr>
          <w:b w:val="0"/>
          <w:i w:val="0"/>
        </w:rPr>
        <w:t xml:space="preserv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she is deliberately not part of the facilitation team, so that a concern about a facilitator can be raised at all. A buddy system pairs participants across countries for language and social support. And any participant may leave a session without giving a reason — a rule stated on Day 1 and repeated before the sessions that work with distressing content.</w:t>
      </w:r>
    </w:p>
    <w:p>
      <w:pPr>
        <w:jc w:val="both"/>
      </w:pPr>
      <w:r>
        <w:rPr>
          <w:b/>
          <w:i w:val="0"/>
        </w:rPr>
        <w:t>After.</w:t>
      </w:r>
      <w:r>
        <w:rPr>
          <w:b w:val="0"/>
          <w:i w:val="0"/>
        </w:rPr>
        <w:t xml:space="preserve"> Support does not stop at the bus. The cohort communication group stays open for 18 months. Each participant leaves with a written commitment and a role in a local initiative, and the group leader supports them through it: the initiative is theirs to run, but they are not left alone to run it. A joint online meeting in month 10 lets the two groups that have already delivered pass on what they learned. A follow-up questionnaire in month 12 and the final test in month 18 close the loop, and the participatory evaluation session in month 17 brings the twenty back into the project as evaluators rather than beneficiaries.</w:t>
      </w:r>
    </w:p>
    <w:p>
      <w:pPr>
        <w:spacing w:after="200"/>
      </w:pPr>
      <w:r>
        <w:rPr>
          <w:b w:val="0"/>
          <w:i/>
          <w:color w:val="5A5A5A"/>
          <w:sz w:val="16"/>
        </w:rPr>
        <w:t>≈ 4,091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 participants are minors. The measures below are specific,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i w:val="0"/>
        </w:rPr>
        <w:t>Safety of the accommodation and of the activity spaces.</w:t>
      </w:r>
      <w:r>
        <w:rPr>
          <w:b w:val="0"/>
          <w:i w:val="0"/>
        </w:rPr>
        <w:t xml:space="preserve"> A written risk assessment of the venue before contracting, covering fire safety certification and evacuation routes; the state of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Verification on site during the preparatory visit in month 3, by the logistics officer with representatives of the sending organisations — the venue is not confirmed until it has been seen. An evacuation drill on Day 0, immediately after arrival, with the assembly point shown to every participant; the guided safety tour is a scheduled session (D0.1), not an informality. Room allocation by gender and by age, minors accommodated only with minors; the four group leaders sleep on the same floors as their groups; a night-duty rota so that at least one adult is awake and reachable at all times. Activity spaces checked daily by the logistics officer; a first-aid kit in the plenary room and one carried on every off-site activity; at least one member of the team holding a valid first-aid qualification [TO CONFIRM: who, and the certificate’s validity date]. For the off-site activity on Day 5: transport by a licensed carrier, a written route and timing, a headcount at every boarding, and one adult per group at all times.</w:t>
      </w:r>
    </w:p>
    <w:p>
      <w:pPr>
        <w:jc w:val="both"/>
      </w:pPr>
      <w:r>
        <w:rPr>
          <w:b/>
          <w:i w:val="0"/>
        </w:rPr>
        <w:t>Protection of participants.</w:t>
      </w:r>
      <w:r>
        <w:rPr>
          <w:b w:val="0"/>
          <w:i w:val="0"/>
        </w:rPr>
        <w:t xml:space="preserve"> A child protection policy of the coordinating organisation, signed by every adult involved — staff, facilitators, group leaders — and presented to the participants on Day 1 [TO CONFIRM: the policy must be adopted before submission]. A designated safeguarding focal point, Marilena Georgescu, outside the facilitation team, introduced in person on Day 1, whose contact details go to participants and parents before departure, with a named counterpart in each partner organisation. Written parental consents for participation, travel, emergency medical care and use of images, obtained before departure and notarised where national law requires it, as is expected for the Turkish group. A code of conduct negotiated with the participants themselves on Day 1 (D1.2) rather than imposed, including non-discrimination, respect for all languages present, and explicit rules on harassment and bullying. Insurance — health, accident and civil liability — for all 26 people for the whole travel period, arranged and verified centrally by the coordinator rather than left to each sending organisation. An emergency protocol: a 24/7 contact chain, the full list of parents’ contacts held by the coordinator and by each group leader, a designated reference medical facility identified during the preparatory visit, and an interpreter reachable for the Turkish and French groups. Every group leader signs the child protection policy and the house rules before departure and prepares alongside the young people of their own group. Digital protection and data: explicit consent for photographs and video; no publication of identifiable images of minors without consent; no personal data of third parties in the material produced; a two-step review before anything is published, with the safeguarding focal point approving; all data processed under the GDPR, stored in restricted folders and anonymised in the supporting file.</w:t>
      </w:r>
    </w:p>
    <w:p>
      <w:pPr>
        <w:jc w:val="both"/>
      </w:pPr>
      <w:r>
        <w:rPr>
          <w:b/>
          <w:i w:val="0"/>
        </w:rPr>
        <w:t>Protocol for sensitive content.</w:t>
      </w:r>
      <w:r>
        <w:rPr>
          <w:b w:val="0"/>
          <w:i w:val="0"/>
        </w:rPr>
        <w:t xml:space="preserve"> Working with real disinformation exposes participants to violent, discriminatory or distressing material — about war, health, migration. The measures are specific rather than reassuring. All working material is pre-screened by the facilitators and explicit content is excluded. Every analysis session ends with a short decompression sequence (D2.4).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4,570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pStyle w:val="ListBullet"/>
        <w:spacing w:after="40"/>
        <w:ind w:left="340"/>
      </w:pPr>
      <w:r>
        <w:rPr>
          <w:b/>
          <w:i w:val="0"/>
        </w:rPr>
        <w:t>Months 6–15 — four local initiatives.</w:t>
      </w:r>
      <w:r>
        <w:rPr>
          <w:b w:val="0"/>
          <w:i w:val="0"/>
        </w:rPr>
        <w:t xml:space="preserve"> Two in the Romanian territory, in different communes, one in Türkiye and one in the South Aegean, each reaching at least 20 young people and hosted in a youth centre, a library, a community centre, the partner organisation’s own space or another accessible public place. The participants design and lead them; the group leader supports. Each initiative uses the “Digital Detectives” toolkit, screens the four media products made during the mobility, and ends with the ten-minute exercise measuring whether the young people reached can apply two simple verification methods — the evidence for objective O3. Two initiatives are due by month 10 and two by month 15, so the later ones benefit from the earlier ones.</w:t>
      </w:r>
    </w:p>
    <w:p>
      <w:pPr>
        <w:pStyle w:val="ListBullet"/>
        <w:spacing w:after="40"/>
        <w:ind w:left="340"/>
      </w:pPr>
      <w:r>
        <w:rPr>
          <w:b/>
          <w:i w:val="0"/>
        </w:rPr>
        <w:t>Month 10 — joint online review</w:t>
      </w:r>
      <w:r>
        <w:rPr>
          <w:b w:val="0"/>
          <w:i w:val="0"/>
        </w:rPr>
        <w:t xml:space="preserve"> between the three groups, where those that have delivered pass on what worked and what did not, and the toolkit is revised on the basis of real use rather than intentions.</w:t>
      </w:r>
    </w:p>
    <w:p>
      <w:pPr>
        <w:pStyle w:val="ListBullet"/>
        <w:spacing w:after="40"/>
        <w:ind w:left="340"/>
      </w:pPr>
      <w:r>
        <w:rPr>
          <w:b/>
          <w:i w:val="0"/>
        </w:rPr>
        <w:t>Month 12 — follow-up questionnaire</w:t>
      </w:r>
      <w:r>
        <w:rPr>
          <w:b w:val="0"/>
          <w:i w:val="0"/>
        </w:rPr>
        <w:t xml:space="preserve"> at six months after the mobility: what they still use, and what they have done with it.</w:t>
      </w:r>
    </w:p>
    <w:p>
      <w:pPr>
        <w:pStyle w:val="ListBullet"/>
        <w:spacing w:after="40"/>
        <w:ind w:left="340"/>
      </w:pPr>
      <w:r>
        <w:rPr>
          <w:b/>
          <w:i w:val="0"/>
        </w:rPr>
        <w:t>Months 16–17 — the toolkit and dissemination.</w:t>
      </w:r>
      <w:r>
        <w:rPr>
          <w:b w:val="0"/>
          <w:i w:val="0"/>
        </w:rPr>
        <w:t xml:space="preserve"> The final version of “Digital Detectives” is published, translated by the partners, and presented to the youth workers, librarians and community educators of the territory. Results are presented across the 14 localities of the LAG territory and at the community events the organisation already runs. Participants co-present.</w:t>
      </w:r>
    </w:p>
    <w:p>
      <w:pPr>
        <w:pStyle w:val="ListBullet"/>
        <w:spacing w:after="40"/>
        <w:ind w:left="340"/>
      </w:pPr>
      <w:r>
        <w:rPr>
          <w:b/>
          <w:i w:val="0"/>
        </w:rPr>
        <w:t>Month 17 — participatory evaluation session</w:t>
      </w:r>
      <w:r>
        <w:rPr>
          <w:b w:val="0"/>
          <w:i w:val="0"/>
        </w:rPr>
        <w:t xml:space="preserve"> with the participants, feeding the final report.</w:t>
      </w:r>
    </w:p>
    <w:p>
      <w:pPr>
        <w:pStyle w:val="ListBullet"/>
        <w:spacing w:after="40"/>
        <w:ind w:left="340"/>
      </w:pPr>
      <w:r>
        <w:rPr>
          <w:b/>
          <w:i w:val="0"/>
        </w:rPr>
        <w:t>Month 18 — final test</w:t>
      </w:r>
      <w:r>
        <w:rPr>
          <w:b w:val="0"/>
          <w:i w:val="0"/>
        </w:rPr>
        <w:t>, comparison with the baseline, evaluation report, and reporting back to participants, parents, community partners and the National Agency.</w:t>
      </w:r>
    </w:p>
    <w:p>
      <w:pPr>
        <w:jc w:val="both"/>
      </w:pPr>
      <w:r>
        <w:rPr>
          <w:b/>
          <w:i w:val="0"/>
        </w:rPr>
        <w:t>Where this leads for them.</w:t>
      </w:r>
      <w:r>
        <w:rPr>
          <w:b w:val="0"/>
          <w:i w:val="0"/>
        </w:rPr>
        <w:t xml:space="preserve"> The follow-up is deliberately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 another learning activity, a volunteering placement, a civic initiative, another mobility. And the twenty continue as peer trainers in the three organisations’ later activities. The project does not run alongside their learning and then stop; it leaves a competence, a document that describes it, and a place to keep using it.</w:t>
      </w:r>
    </w:p>
    <w:p>
      <w:pPr>
        <w:spacing w:after="200"/>
      </w:pPr>
      <w:r>
        <w:rPr>
          <w:b w:val="0"/>
          <w:i/>
          <w:color w:val="5A5A5A"/>
          <w:sz w:val="16"/>
        </w:rPr>
        <w:t>≈ 2,553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 xml:space="preserve">The methods that support reflection and documentation are scheduled sessions in the timetable, not good intentions. </w:t>
      </w:r>
      <w:r>
        <w:rPr>
          <w:b/>
          <w:i w:val="0"/>
        </w:rPr>
        <w:t>D1.4</w:t>
      </w:r>
      <w:r>
        <w:rPr>
          <w:b w:val="0"/>
          <w:i w:val="0"/>
        </w:rPr>
        <w:t xml:space="preserve"> introduces the eight key competences, the learning diary and Youthpass, and each participant sets two personal learning targets. </w:t>
      </w:r>
      <w:r>
        <w:rPr>
          <w:b/>
          <w:i w:val="0"/>
        </w:rPr>
        <w:t>D1.5, D2.4, D3.5, D4.4 and D6.4</w:t>
      </w:r>
      <w:r>
        <w:rPr>
          <w:b w:val="0"/>
          <w:i w:val="0"/>
        </w:rPr>
        <w:t xml:space="preserve"> are the daily reflection cycle — national group in the participant’s own language first, then plenary. </w:t>
      </w:r>
      <w:r>
        <w:rPr>
          <w:b/>
          <w:i w:val="0"/>
        </w:rPr>
        <w:t>D4.4</w:t>
      </w:r>
      <w:r>
        <w:rPr>
          <w:b w:val="0"/>
          <w:i w:val="0"/>
        </w:rPr>
        <w:t xml:space="preserve"> is the mid-point review of each participant’s own learning targets. </w:t>
      </w:r>
      <w:r>
        <w:rPr>
          <w:b/>
          <w:i w:val="0"/>
        </w:rPr>
        <w:t>D7.2</w:t>
      </w:r>
      <w:r>
        <w:rPr>
          <w:b w:val="0"/>
          <w:i w:val="0"/>
        </w:rPr>
        <w:t xml:space="preserve"> is the closing Youthpass session. All six appear in the annexed timetable with their objective, method, competences, output and named responsible person.</w:t>
      </w:r>
    </w:p>
    <w:p>
      <w:pPr>
        <w:jc w:val="both"/>
      </w:pPr>
      <w:r>
        <w:rPr>
          <w:b/>
          <w:i w:val="0"/>
        </w:rPr>
        <w:t>Awareness of learning is built into the structure rather than added at the end,</w:t>
      </w:r>
      <w:r>
        <w:rPr>
          <w:b w:val="0"/>
          <w:i w:val="0"/>
        </w:rPr>
        <w:t xml:space="preserve"> in three concrete ways. First, the Day 1 digital map is kept and returned on Day 7: participants compare their own description of their media habits before and after, which turns an abstract competence gain into something they can see. Second,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Third, the baseline and final test gives each participant a personal figure, communicated to them individually in month 18, not only aggregated for the report.</w:t>
      </w:r>
    </w:p>
    <w:p>
      <w:pPr>
        <w:jc w:val="both"/>
      </w:pPr>
      <w:r>
        <w:rPr>
          <w:b/>
          <w:i w:val="0"/>
        </w:rPr>
        <w:t>What the process is for.</w:t>
      </w:r>
      <w:r>
        <w:rPr>
          <w:b w:val="0"/>
          <w:i w:val="0"/>
        </w:rPr>
        <w:t xml:space="preserve"> Youthpass here teaches a transferable skill in its own right: identifying what you learned, documenting it with evidence you can point to, and presenting it in a form someone else understands. That is what makes the certificate useful to a sixteen-year-old afterwards — in the next learning activity they join, in volunteering, in a civic initiative in their own community, and in the next international mobility they apply for. The competence matrix above is the reference document for the whole process: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2,215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20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12 of the 20 participants — 60%.</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i w:val="0"/>
        </w:rPr>
        <w:t>The challenges.</w:t>
      </w:r>
      <w:r>
        <w:rPr>
          <w:b w:val="0"/>
          <w:i w:val="0"/>
        </w:rPr>
        <w:t xml:space="preserve"> </w:t>
      </w:r>
      <w:r>
        <w:rPr>
          <w:b w:val="0"/>
          <w:i/>
        </w:rPr>
        <w:t>Geographical</w:t>
      </w:r>
      <w:r>
        <w:rPr>
          <w:b w:val="0"/>
          <w:i w:val="0"/>
        </w:rPr>
        <w:t xml:space="preserve"> — the principal one, affecting essentially the whole group: isolated rural mountain communes, small islands of the South Aegean, and a metropolitan periphery with the rural localities behind it. Living in a remote or rural region, on a small island or in a peripheral, less-served area is recognised as an obstacle to participation, and all three groups qualify on that ground alone. </w:t>
      </w:r>
      <w:r>
        <w:rPr>
          <w:b w:val="0"/>
          <w:i/>
        </w:rPr>
        <w:t>Economic</w:t>
      </w:r>
      <w:r>
        <w:rPr>
          <w:b w:val="0"/>
          <w:i w:val="0"/>
        </w:rPr>
        <w:t xml:space="preserve"> — 34.4% of the young people aged 14–17 in our survey name cost as a barrier and 31.2% name transport; in these households the first 80 kilometres are a real obstacle, not a detail. </w:t>
      </w:r>
      <w:r>
        <w:rPr>
          <w:b w:val="0"/>
          <w:i/>
        </w:rPr>
        <w:t>Educational</w:t>
      </w:r>
      <w:r>
        <w:rPr>
          <w:b w:val="0"/>
          <w:i w:val="0"/>
        </w:rPr>
        <w:t xml:space="preserve"> — 31.3% have never taken part in any non-formal education activity, and some come from households with no experience of European programmes at all; for them the difficulty is not only getting there, it is knowing that such a thing exists and is meant for them. </w:t>
      </w:r>
      <w:r>
        <w:rPr>
          <w:b w:val="0"/>
          <w:i/>
        </w:rPr>
        <w:t>Linguistic</w:t>
      </w:r>
      <w:r>
        <w:rPr>
          <w:b w:val="0"/>
          <w:i w:val="0"/>
        </w:rPr>
        <w:t xml:space="preserve"> — part of our own territory communicates in Hungarian; in the İstanbul periphery information travels through neighbourhood and community networks; in the South Aegean it travels through island and regional channels. A young person whose community life happens outside the national media has less access to reliable information and almost no access to correction of what circulates around them. </w:t>
      </w:r>
      <w:r>
        <w:rPr>
          <w:b w:val="0"/>
          <w:i/>
        </w:rPr>
        <w:t>Social</w:t>
      </w:r>
      <w:r>
        <w:rPr>
          <w:b w:val="0"/>
          <w:i w:val="0"/>
        </w:rPr>
        <w:t xml:space="preserve"> — 12.5% name lack of self-confidence and 10.4% say their family would not agree; among the respondents there are young people reached through the social worker, young people with childcare responsibilities and young people from Roma communities, and two wrote about exclusion directly: “There shouldn’t be differences of class or gender — if you’re in the 12th grade you should be able to go on Erasmus too” and “The right to study; Roma don’t put an emphasis on school.” </w:t>
      </w:r>
      <w:r>
        <w:rPr>
          <w:b w:val="0"/>
          <w:i/>
        </w:rPr>
        <w:t>Health or disability</w:t>
      </w:r>
      <w:r>
        <w:rPr>
          <w:b w:val="0"/>
          <w:i w:val="0"/>
        </w:rPr>
        <w:t xml:space="preserve"> — not known before selection; the specific-needs sheet allows it to be declared confidentially, and the support that follows is costed individually rather than assumed.</w:t>
      </w:r>
    </w:p>
    <w:p>
      <w:pPr>
        <w:jc w:val="both"/>
      </w:pPr>
      <w:r>
        <w:rPr>
          <w:b/>
          <w:i w:val="0"/>
        </w:rPr>
        <w:t>How we reach them.</w:t>
      </w:r>
      <w:r>
        <w:rPr>
          <w:b w:val="0"/>
          <w:i w:val="0"/>
        </w:rPr>
        <w:t xml:space="preserve"> The first barrier these young people name is not money. It is information: 37.5% say the reason opportunities pass them by is that they never hear about them. So outreach is a project activity with its own indicator — a target of at least 60 applications for 20 places — not an administrative formality. We work through the youth networks the three organisations already run, including the Rural Youth Parliament and the participants of previous activities, because those are the people who can say what an exchange is actually like; peer-to-peer, since friends are the channel for 38.5% of them; through social media (49.0%), in a format adapted to the age group and produced with young people already active in the organisations rather than written by staff and posted at them; through libraries, community centres and local youth spaces, where the call is presented in person rather than pinned up; through the LAG’s Social Inclusion Centre and the UNIC — Porolissum project, which work directly with vulnerable households and reach young people who would never see an online call — six of our survey respondents did in fact hear about opportunities through a social worker; and, as an information channel only, through the schools of the territory, because that is where half of these young people say they hear about opportunities. Not through municipal noticeboards, which reach 6.2% of this age group: the 14 partner municipalities are used for validating the need and hosting activities, not for recruitment. Saying that plainly is what our own data requires.</w:t>
      </w:r>
    </w:p>
    <w:p>
      <w:pPr>
        <w:jc w:val="both"/>
      </w:pPr>
      <w:r>
        <w:rPr>
          <w:b/>
          <w:i w:val="0"/>
        </w:rPr>
        <w:t>The measures.</w:t>
      </w:r>
      <w:r>
        <w:rPr>
          <w:b w:val="0"/>
          <w:i w:val="0"/>
        </w:rPr>
        <w:t xml:space="preserve"> </w:t>
      </w:r>
      <w:r>
        <w:rPr>
          <w:b w:val="0"/>
          <w:i/>
        </w:rPr>
        <w:t>Informational</w:t>
      </w:r>
      <w:r>
        <w:rPr>
          <w:b w:val="0"/>
          <w:i w:val="0"/>
        </w:rPr>
        <w:t xml:space="preserve"> — the outreach plan above, the call translated into four languages, and a plain-language version written for parents rather than for funders. </w:t>
      </w:r>
      <w:r>
        <w:rPr>
          <w:b w:val="0"/>
          <w:i/>
        </w:rPr>
        <w:t>Economic</w:t>
      </w:r>
      <w:r>
        <w:rPr>
          <w:b w:val="0"/>
          <w:i w:val="0"/>
        </w:rPr>
        <w:t xml:space="preserve"> — no contribution of any kind is asked of participants; travel, accommodation, meals, insurance and materials are covered in full, and the rule is stated in writing from the day the call is published, because that is what allows a family to let a child apply at all. </w:t>
      </w:r>
      <w:r>
        <w:rPr>
          <w:b w:val="0"/>
          <w:i/>
        </w:rPr>
        <w:t>Transport</w:t>
      </w:r>
      <w:r>
        <w:rPr>
          <w:b w:val="0"/>
          <w:i w:val="0"/>
        </w:rPr>
        <w:t xml:space="preserve"> — organised and paid from the participant’s home to the point of departure, through the inclusion support category, on a dedicated budget line: a young person from Măguri-Răcătău, or one who must take a ferry before reaching an airport or a station, does not have to solve the first leg alone. </w:t>
      </w:r>
      <w:r>
        <w:rPr>
          <w:b w:val="0"/>
          <w:i/>
        </w:rPr>
        <w:t>Educational and linguistic</w:t>
      </w:r>
      <w:r>
        <w:rPr>
          <w:b w:val="0"/>
          <w:i w:val="0"/>
        </w:rPr>
        <w:t xml:space="preserve"> — English is not a selection criterion, A2 is accepted, the detective’s glossary is built in four languages, methods are visual and practical, work is done in pairs, group leaders interpret on request, and cross-language support is built deliberately into the mixed teams. </w:t>
      </w:r>
      <w:r>
        <w:rPr>
          <w:b w:val="0"/>
          <w:i/>
        </w:rPr>
        <w:t>Social and confidence</w:t>
      </w:r>
      <w:r>
        <w:rPr>
          <w:b w:val="0"/>
          <w:i w:val="0"/>
        </w:rPr>
        <w:t xml:space="preserve"> — the preparatory visit includes one young person from each sending organisation, so a participant arrives in August already knowing someone who has been there; the cohort communication group is active two months before departure; there is an online meeting with parents; the group leader accompanies throughout the journey; and the right to leave a session is stated. </w:t>
      </w:r>
      <w:r>
        <w:rPr>
          <w:b w:val="0"/>
          <w:i/>
        </w:rPr>
        <w:t>Health or disability</w:t>
      </w:r>
      <w:r>
        <w:rPr>
          <w:b w:val="0"/>
          <w:i w:val="0"/>
        </w:rPr>
        <w:t xml:space="preserve"> — the specific-needs sheet allows confidential declaration, the venue is chosen to be accessible, and additional inclusion support at real cost is requested where needed, on its own line with its own justification. </w:t>
      </w:r>
      <w:r>
        <w:rPr>
          <w:b w:val="0"/>
          <w:i/>
        </w:rPr>
        <w:t>Family reluctance</w:t>
      </w:r>
      <w:r>
        <w:rPr>
          <w:b w:val="0"/>
          <w:i w:val="0"/>
        </w:rPr>
        <w:t xml:space="preserve"> — named by 10.4%: the parents’ online meeting is held in each country in the local language, with the safeguarding focal point present and the full programme, supervision arrangements and contact chain explained, and parental consent is obtained after that meeting, not before it.</w:t>
      </w:r>
    </w:p>
    <w:p>
      <w:pPr>
        <w:spacing w:after="200"/>
      </w:pPr>
      <w:r>
        <w:rPr>
          <w:b w:val="0"/>
          <w:i/>
          <w:color w:val="5A5A5A"/>
          <w:sz w:val="16"/>
        </w:rPr>
        <w:t>≈ 5,513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26 persons take part: 20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i w:val="0"/>
        </w:rPr>
        <w:t>Before, months 3–4.</w:t>
      </w:r>
      <w:r>
        <w:rPr>
          <w:b w:val="0"/>
          <w:i w:val="0"/>
        </w:rPr>
        <w:t xml:space="preserve"> Four joint online sessions of 90 minutes each, in mixed national teams. A shared online workspace holds the documents, the case files uploaded by each group, and the templates. A moderated messaging group with explicit rules keeps day-to-day contact. A separate online meeting with parents in each country, and a two-day online briefing for the group leaders that includes the observer calibration exercise. The baseline test is administered online.</w:t>
      </w:r>
    </w:p>
    <w:p>
      <w:pPr>
        <w:jc w:val="both"/>
      </w:pPr>
      <w:r>
        <w:rPr>
          <w:b/>
          <w:i w:val="0"/>
        </w:rPr>
        <w:t>After, months 6–18.</w:t>
      </w:r>
      <w:r>
        <w:rPr>
          <w:b w:val="0"/>
          <w:i w:val="0"/>
        </w:rPr>
        <w:t xml:space="preserve"> The cohort communication group remains the working space for preparing the four local initiatives: each group posts its plan and the others comment before it happens. A joint online review meeting in month 10; the follow-up questionnaire in month 12; the participatory evaluation session in month 17, held online across the three countries; and the final test in month 18.</w:t>
      </w:r>
    </w:p>
    <w:p>
      <w:pPr>
        <w:jc w:val="both"/>
      </w:pPr>
      <w:r>
        <w:rPr>
          <w:b/>
          <w:i w:val="0"/>
        </w:rPr>
        <w:t>Why this is not decoration.</w:t>
      </w:r>
      <w:r>
        <w:rPr>
          <w:b w:val="0"/>
          <w:i w:val="0"/>
        </w:rPr>
        <w:t xml:space="preserve"> Two reasons, both from the data. First, for a group in which 31.3% have never taken part in a non-formal activity and 12.5% name lack of confidence as a barrier, the virtual phase lowers the threshold: they arrive in August having already met the people they will be working with, which is a different thing from arriving among strangers. Second, the subject of this project is the digital environment, so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1,543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i w:val="0"/>
        </w:rPr>
        <w:t>Yes.</w:t>
      </w:r>
      <w:r>
        <w:rPr>
          <w:b w:val="0"/>
          <w:i w:val="0"/>
        </w:rPr>
        <w:t xml:space="preserve"> </w:t>
      </w:r>
      <w:r>
        <w:rPr>
          <w:b w:val="0"/>
          <w:i/>
        </w:rPr>
        <w:t>Green travel</w:t>
      </w:r>
      <w:r>
        <w:rPr>
          <w:b w:val="0"/>
          <w:i w:val="0"/>
        </w:rPr>
        <w:t xml:space="preserve"> — for each group the low-emission option is analysed (train, coach, ferry, to the extent each qualifies as green travel under the rules of the applicable call), including the additional eligible travel days, and the option chosen and the reason are documented; the budget is built on the green rates for all three flows. </w:t>
      </w:r>
      <w:r>
        <w:rPr>
          <w:b w:val="0"/>
          <w:i/>
        </w:rPr>
        <w:t>Food from the territory</w:t>
      </w:r>
      <w:r>
        <w:rPr>
          <w:b w:val="0"/>
          <w:i w:val="0"/>
        </w:rPr>
        <w:t xml:space="preserve"> — meals are mostly local and seasonal, sourced from producers in the LAG territory through the short supply chains the organisation itself developed in its rural-development work. That is not a gesture: it is the organisation’s own infrastructure, and it lets participants see a short supply chain instead of hearing about one. No individually packaged portions. </w:t>
      </w:r>
      <w:r>
        <w:rPr>
          <w:b w:val="0"/>
          <w:i/>
        </w:rPr>
        <w:t>Materials</w:t>
      </w:r>
      <w:r>
        <w:rPr>
          <w:b w:val="0"/>
          <w:i w:val="0"/>
        </w:rPr>
        <w:t xml:space="preserve"> — no folders, no printed handouts; worksheets are digital; workshop materials are reusable; waste is separated at the venue; participants are asked to bring reusable bottles. </w:t>
      </w:r>
      <w:r>
        <w:rPr>
          <w:b w:val="0"/>
          <w:i/>
        </w:rPr>
        <w:t>Local movement</w:t>
      </w:r>
      <w:r>
        <w:rPr>
          <w:b w:val="0"/>
          <w:i w:val="0"/>
        </w:rPr>
        <w:t xml:space="preserve"> on foot or by a single group transport. </w:t>
      </w:r>
      <w:r>
        <w:rPr>
          <w:b w:val="0"/>
          <w:i/>
        </w:rPr>
        <w:t>Awareness through the content itself</w:t>
      </w:r>
      <w:r>
        <w:rPr>
          <w:b w:val="0"/>
          <w:i w:val="0"/>
        </w:rPr>
        <w:t xml:space="preserve"> — one of the categories of disinformation analysed on Day 2 is environmental and climate content. Participants work on real examples of misleading environmental claims, which for this particular group is a far more durable environmental lesson than a briefing on recycling, and it is consistent with the method of the whole project: they learn to distrust the slogan, including the green one.</w:t>
      </w:r>
    </w:p>
    <w:p>
      <w:pPr>
        <w:spacing w:after="200"/>
      </w:pPr>
      <w:r>
        <w:rPr>
          <w:b w:val="0"/>
          <w:i/>
          <w:color w:val="5A5A5A"/>
          <w:sz w:val="16"/>
        </w:rPr>
        <w:t>≈ 1,396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i w:val="0"/>
        </w:rPr>
        <w:t>Roles, separated on purpose.</w:t>
      </w:r>
      <w:r>
        <w:rPr>
          <w:b w:val="0"/>
          <w:i w:val="0"/>
        </w:rPr>
        <w:t xml:space="preserve"> Alina Ioana Baba (coordinator) is project manager: overall coordination, the relationship with the National Agency, budget, reporting, risk decisions and the partnership agreements. Claudiu Iancu is Learning Programme Coordinator for non-formal learning: the learning programme, the three measurement instruments, observer calibration and moderation, the facilitation team and the Youthpass process. Livia Golovatic is activity coordinator and Romanian group leader: the four joint online preparation sessions, the coordination of the four local initiatives, and the gender and locality balance checks. Marilena Georgescu is the safeguarding focal point: she receives and handles concerns and approves publication of content, and she sits outside the facilitation chain by design, so that a participant can raise a concern about a facilitator. Iulia Fătu handles finance and logistics: budget execution, procurement, venue, transport, insurance, financial reporting and the written venue risk assessment. GGD leads media production and AI content and designates one of the two facilitators; KEA leads the community dialogue method and the local-initiative methodology. Romania and Türkiye each provide one group leader aged 18 or over, Greece two.</w:t>
      </w:r>
    </w:p>
    <w:p>
      <w:pPr>
        <w:jc w:val="both"/>
      </w:pPr>
      <w:r>
        <w:rPr>
          <w:b/>
          <w:i w:val="0"/>
        </w:rPr>
        <w:t>Agreements and governance.</w:t>
      </w:r>
      <w:r>
        <w:rPr>
          <w:b w:val="0"/>
          <w:i w:val="0"/>
        </w:rPr>
        <w:t xml:space="preserve"> A written partnership agreement is signed with each partner in month 1, before any expenditure, setting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The agreement is not a formality — it is the document that makes the deliverables enforceable. Coordination meetings are held online monthly in months 1–5 and every two months thereafter, with a standard agenda, a written minute circulated within 48 hours and a rotating chair. A shared action log records every decision with an owner and a deadline, and the risk register is reviewed at every meeting.</w:t>
      </w:r>
    </w:p>
    <w:p>
      <w:pPr>
        <w:jc w:val="both"/>
      </w:pPr>
      <w:r>
        <w:rPr>
          <w:b/>
          <w:i w:val="0"/>
        </w:rPr>
        <w:t>Alignment with the Quality Standards.</w:t>
      </w:r>
      <w:r>
        <w:rPr>
          <w:b w:val="0"/>
          <w:i w:val="0"/>
        </w:rPr>
        <w:t xml:space="preserve"> </w:t>
      </w:r>
      <w:r>
        <w:rPr>
          <w:b w:val="0"/>
          <w:i/>
        </w:rPr>
        <w:t>Basic principles</w:t>
      </w:r>
      <w:r>
        <w:rPr>
          <w:b w:val="0"/>
          <w:i w:val="0"/>
        </w:rPr>
        <w:t xml:space="preserve"> — inclusion and diversity, environmental sustainability, digital transformation and participation all appear as design decisions traceable to evidence, and the correlation between each survey finding and the decision it produced is documented in the supporting file. </w:t>
      </w:r>
      <w:r>
        <w:rPr>
          <w:b w:val="0"/>
          <w:i/>
        </w:rPr>
        <w:t>Fair and transparent selection</w:t>
      </w:r>
      <w:r>
        <w:rPr>
          <w:b w:val="0"/>
          <w:i w:val="0"/>
        </w:rPr>
        <w:t xml:space="preserve"> — published criteria identical across three countries, a commission of at least two people per organisation, and the outcome communicated with reasons to every candidate, including those not selected. </w:t>
      </w:r>
      <w:r>
        <w:rPr>
          <w:b w:val="0"/>
          <w:i/>
        </w:rPr>
        <w:t>Preparation of participants</w:t>
      </w:r>
      <w:r>
        <w:rPr>
          <w:b w:val="0"/>
          <w:i w:val="0"/>
        </w:rPr>
        <w:t xml:space="preserve"> — four months, four joint online sessions, a preparatory visit, linguistic and intercultural components, a parents’ meeting in each country, and a baseline that tells the facilitators what the group actually cannot do. </w:t>
      </w:r>
      <w:r>
        <w:rPr>
          <w:b w:val="0"/>
          <w:i/>
        </w:rPr>
        <w:t>Definition, assessment and recognition of learning outcomes</w:t>
      </w:r>
      <w:r>
        <w:rPr>
          <w:b w:val="0"/>
          <w:i w:val="0"/>
        </w:rPr>
        <w:t xml:space="preserve"> — the competence matrix tied to sessions and evidence, the baseline and final test, the observation grid with calibrated observers, and Youthpass as a process from Day 1. </w:t>
      </w:r>
      <w:r>
        <w:rPr>
          <w:b w:val="0"/>
          <w:i/>
        </w:rPr>
        <w:t>Protection and safety</w:t>
      </w:r>
      <w:r>
        <w:rPr>
          <w:b w:val="0"/>
          <w:i w:val="0"/>
        </w:rPr>
        <w:t xml:space="preserve"> — child protection policy, a safeguarding focal point outside the facilitation team, a written venue risk assessment verified on site, parental consents, central insurance, an emergency protocol and a sensitive-content protocol. </w:t>
      </w:r>
      <w:r>
        <w:rPr>
          <w:b w:val="0"/>
          <w:i/>
        </w:rPr>
        <w:t>Sharing results and knowledge of the Programme</w:t>
      </w:r>
      <w:r>
        <w:rPr>
          <w:b w:val="0"/>
          <w:i w:val="0"/>
        </w:rPr>
        <w:t xml:space="preserve"> — the toolkit published free of charge, results on the Erasmus+ Project Results Platform, dissemination through the LEADER and ELARD networks, and a Day 1 session telling participants what else the Programme offers them after this project.</w:t>
      </w:r>
    </w:p>
    <w:p>
      <w:pPr>
        <w:spacing w:after="200"/>
      </w:pPr>
      <w:r>
        <w:rPr>
          <w:b w:val="0"/>
          <w:i/>
          <w:color w:val="5A5A5A"/>
          <w:sz w:val="16"/>
        </w:rPr>
        <w:t>≈ 3,703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i w:val="0"/>
        </w:rPr>
        <w:t>Preparatory visit, month 3.</w:t>
      </w:r>
      <w:r>
        <w:rPr>
          <w:b w:val="0"/>
          <w:i w:val="0"/>
        </w:rPr>
        <w:t xml:space="preserve"> Held in the LAG territory, with two people from each of the two sending organisations — one of them a young person — plus one staff member from the coordinating organisation, five people in total. That staff member has two concrete tasks: contributing to the on-site verification of the logistical and safety arrangements, and finalising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and justified on three grounds: all twenty participants are minors, both sending partners are new working relationships for us, and a venue’s suitability cannot be assessed from photographs.</w:t>
      </w:r>
    </w:p>
    <w:p>
      <w:pPr>
        <w:jc w:val="both"/>
      </w:pPr>
      <w:r>
        <w:rPr>
          <w:b/>
          <w:i w:val="0"/>
        </w:rPr>
        <w:t>Travel.</w:t>
      </w:r>
      <w:r>
        <w:rPr>
          <w:b w:val="0"/>
          <w:i w:val="0"/>
        </w:rPr>
        <w:t xml:space="preserve"> Booked centrally by the coordinator for all three flows, so that no sending organisation carries a cash-flow burden and so that green options are compared on the same basis. Distances are confirmed with the European Commission distance calculator once departure cities are known. Domestic transport from participants’ homes to the point of departure is organised and paid by the project — which for the Greek group includes the inter-island ferry legs before the group is even assembled, and is the reason the Greek flow is planned with two accompanying adults and four eligible travel days.</w:t>
      </w:r>
    </w:p>
    <w:p>
      <w:pPr>
        <w:jc w:val="both"/>
      </w:pPr>
      <w:r>
        <w:rPr>
          <w:b/>
          <w:i w:val="0"/>
        </w:rPr>
        <w:t>Accommodation and meals.</w:t>
      </w:r>
      <w:r>
        <w:rPr>
          <w:b w:val="0"/>
          <w:i w:val="0"/>
        </w:rPr>
        <w:t xml:space="preserve"> One venue inside the LAG territory, contracted after a written risk assessment and an on-site check during the preparatory visit. Rooms allocated by gender and age, minors with minors, group leaders on the same floors. Meals mostly local and seasonal from producers in the territory; dietary requirements collected in month 4 and confirmed with the venue in writing.</w:t>
      </w:r>
    </w:p>
    <w:p>
      <w:pPr>
        <w:jc w:val="both"/>
      </w:pPr>
      <w:r>
        <w:rPr>
          <w:b/>
          <w:i w:val="0"/>
        </w:rPr>
        <w:t>Insurance.</w:t>
      </w:r>
      <w:r>
        <w:rPr>
          <w:b w:val="0"/>
          <w:i w:val="0"/>
        </w:rPr>
        <w:t xml:space="preserve"> Health, accident and civil liability for all 26 people for the whole travel period, contracted centrally by the coordinator and verified before departure, rather than left to each partner to arrange.</w:t>
      </w:r>
    </w:p>
    <w:p>
      <w:pPr>
        <w:jc w:val="both"/>
      </w:pPr>
      <w:r>
        <w:rPr>
          <w:b/>
          <w:i w:val="0"/>
        </w:rPr>
        <w:t>Greece — no visa, but a long journey.</w:t>
      </w:r>
      <w:r>
        <w:rPr>
          <w:b w:val="0"/>
          <w:i w:val="0"/>
        </w:rPr>
        <w:t xml:space="preserve"> Greek participants need no visa for Romania. What the Greek flow needs is planning: a ferry from the participant’s island to Piraeus,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w:t>
      </w:r>
    </w:p>
    <w:p>
      <w:pPr>
        <w:jc w:val="both"/>
      </w:pPr>
      <w:r>
        <w:rPr>
          <w:b/>
          <w:i w:val="0"/>
        </w:rPr>
        <w:t>Visas — the principal logistical risk.</w:t>
      </w:r>
      <w:r>
        <w:rPr>
          <w:b w:val="0"/>
          <w:i w:val="0"/>
        </w:rPr>
        <w:t xml:space="preserve">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The procedure therefore begins in month 3, five months before the activity: invitation letters issued by the coordinator, a complete file checked by the coordinator before submission to the consulate, and reserve participants prepared in parallel with their own files ready. This is not a theoretical risk, and we treat it as the item most likely to cost the project a participant.</w:t>
      </w:r>
    </w:p>
    <w:p>
      <w:pPr>
        <w:jc w:val="both"/>
      </w:pPr>
      <w:r>
        <w:rPr>
          <w:b/>
          <w:i w:val="0"/>
        </w:rPr>
        <w:t>Mentoring and support.</w:t>
      </w:r>
      <w:r>
        <w:rPr>
          <w:b w:val="0"/>
          <w:i w:val="0"/>
        </w:rPr>
        <w:t xml:space="preserve"> Each participant has a group leader throughout, a cross-country buddy, and access to the safeguarding focal point. The cohort communication group is active from two months before departure until the end of the project.</w:t>
      </w:r>
    </w:p>
    <w:p>
      <w:pPr>
        <w:jc w:val="both"/>
      </w:pPr>
      <w:r>
        <w:rPr>
          <w:b/>
          <w:i w:val="0"/>
        </w:rPr>
        <w:t>Risk management.</w:t>
      </w:r>
      <w:r>
        <w:rPr>
          <w:b w:val="0"/>
          <w:i w:val="0"/>
        </w:rPr>
        <w:t xml:space="preserve"> The main risks and their responses: visas not obtained for the Turkish group (high likelihood, high impact) — procedure from month 3, documents prepared in advance, appointments booked early, reserve participants with complete files; withdrawal of participants — a reserve list of at least 2 young people per national group, prepared alongside the main group and kept informed; a partner failing to deliver on time — deliverables with dates in the partnership agreement, a monthly action log, then a reminder, a joint problem-solving call and documented reallocation; low English level blocking participation — the five-language glossary, visual methods, interpreting by group leaders, deliberately balanced mixed teams; a medical or safety incident — insurance, emergency protocol, a reference medical facility identified during the preparatory visit, a first-aid trained staff member and a night-duty rota; a participant distressed by the working content — the sensitive-content protocol, pre-screened material, the right to leave a session, daily individual availability of the safeguarding focal point; observers unable to apply the grid consistently — the month 4 calibration exercise with an 80% agreement target, and if it is not reached the grid is simplified before the mobility and the decision is minuted, never after seeing the results; bad weather for outdoor sessions — an indoor alternative planned for every outdoor session; and one of the four local initiatives not delivered — written commitments made publicly on Day 7, an interim reporting deadline in month 10, and methodological support from the partner leading that component.</w:t>
      </w:r>
    </w:p>
    <w:p>
      <w:pPr>
        <w:spacing w:after="200"/>
      </w:pPr>
      <w:r>
        <w:rPr>
          <w:b w:val="0"/>
          <w:i/>
          <w:color w:val="5A5A5A"/>
          <w:sz w:val="16"/>
        </w:rPr>
        <w:t>≈ 5,265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not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That is why the project cannot be delivered by one organisation, and why swapping a partner for a more convenient one elsewhere would weaken it rather than simplify it.</w:t>
      </w:r>
    </w:p>
    <w:p>
      <w:pPr>
        <w:jc w:val="both"/>
      </w:pPr>
      <w:r>
        <w:rPr>
          <w:b/>
          <w:i w:val="0"/>
        </w:rPr>
        <w:t>LAG Napoca Porolissum</w:t>
      </w:r>
      <w:r>
        <w:rPr>
          <w:b w:val="0"/>
          <w:i w:val="0"/>
        </w:rPr>
        <w:t xml:space="preserve"> (Romania — applicant, coordinator, host, sending) owns the evidence base of 153 young people surveyed, the territory, the venue, the relationship with 14 municipalities and a network of 43 partners, and an in-house youth worker and trainer. Its own survey identified the problem. It leads overall coordination, budget, reporting, risk, the learning programme, local logistics, safety, the relationship with the host community and evaluation, and delivers the partnership agreements (M1), the verification test and observation grid piloted and locked (M1–M2), the baseline and final test (M2, M18), the programme and worksheets (M4), venue and services (M4), the evaluation report (M18) and the final toolkit (M17). It leads sessions D1.2, D1.3, D1.4, D2.1, D2.2, D3.2, D3.3, D4.1, D4.3, D5.1 and D7.2.</w:t>
      </w:r>
    </w:p>
    <w:p>
      <w:pPr>
        <w:jc w:val="both"/>
      </w:pPr>
      <w:r>
        <w:rPr>
          <w:b/>
          <w:i w:val="0"/>
        </w:rPr>
        <w:t>Genç Gönüllüler Derneği</w:t>
      </w:r>
      <w:r>
        <w:rPr>
          <w:b w:val="0"/>
          <w:i w:val="0"/>
        </w:rPr>
        <w:t xml:space="preserve"> (Türkiye — sending) was chosen for one competence and one reach. The competence is technical: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it does not teach how to verify it —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(D6.1, D6.2), the AI-content session (D3.1) and the ethics-of-AI session (D3.4), provides pre-departure digital preparation, and </w:t>
      </w:r>
      <w:r>
        <w:rPr>
          <w:b/>
          <w:i w:val="0"/>
        </w:rPr>
        <w:t>designates one of the two facilitators</w:t>
      </w:r>
      <w:r>
        <w:rPr>
          <w:b w:val="0"/>
          <w:i w:val="0"/>
        </w:rPr>
        <w:t>. It delivers the production module and technical guide (M4), its own local needs note (M2), recruitment and preparation of the Turkish group (M2–M4), the local initiative in Türkiye (by M12) and dissemination through its channels (M5–M17).</w:t>
      </w:r>
    </w:p>
    <w:p>
      <w:pPr>
        <w:jc w:val="both"/>
      </w:pPr>
      <w:r>
        <w:rPr>
          <w:b/>
          <w:i w:val="0"/>
        </w:rPr>
        <w:t>KEA IM Syrou</w:t>
      </w:r>
      <w:r>
        <w:rPr>
          <w:b w:val="0"/>
          <w:i w:val="0"/>
        </w:rPr>
        <w:t xml:space="preserve"> (Greece — sending) was chosen for reach and for method. The reach is into real island isolation: KEA carries EU and Greek State programmes out to 36 inhabited islands of the Cyclades and the Dodecanese, which means it can recruit young people from small islands that no national programme touches, and host a local initiative there afterwards. The method is social work rather than media work: the Day 5 dialogue, in which participants sit down with residents and municipal representatives to find out what false information circulates in a place and who it hurts, is a facilitated community exercise before it is a verification one,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 initiative methodology (D6.3) and the Day 2 strand on how information circulates in small island communities. It delivers its own local needs note — already produced for the South Aegean — six to eight documented local cases (M4), the local initiative model and its evaluation grid (M5), recruitment and preparation of the Greek group, the local initiative in the South Aegean (by M13) and the Greek translation of the toolkit.</w:t>
      </w:r>
    </w:p>
    <w:p>
      <w:pPr>
        <w:jc w:val="both"/>
      </w:pPr>
      <w:r>
        <w:rPr>
          <w:b/>
          <w:i w:val="0"/>
        </w:rPr>
        <w:t>On the risk of a partner new to this Action.</w:t>
      </w:r>
      <w:r>
        <w:rPr>
          <w:b w:val="0"/>
          <w:i w:val="0"/>
        </w:rPr>
        <w:t xml:space="preserve"> KEA has not run a KA152 exchange before, and we say so plainly. Two things reduce the risk. It has coordinated Erasmus+ projects of its own (I.D.E.A., 2019-1-EL01-KA204-063049) and managed budgets an order of magnitude larger than this one under ESF+ and Interreg. And it has already been a partner in an Erasmus+ project coordinated from Romania and contracted by this same National Agency — Meta Skills, 2021-1-RO01-KA220-ADU-000028211 —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is what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5,157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i w:val="0"/>
        </w:rPr>
        <w:t>Formal coordination and accountability</w:t>
      </w:r>
      <w:r>
        <w:rPr>
          <w:b w:val="0"/>
          <w:i w:val="0"/>
        </w:rPr>
        <w:t xml:space="preserve"> run through email and a shared document workspace: all decisions, deliverables and versions live there, response time is three working days, and nothing that binds a partner exists only in a chat. </w:t>
      </w:r>
      <w:r>
        <w:rPr>
          <w:b/>
          <w:i w:val="0"/>
        </w:rPr>
        <w:t>Coordination meetings</w:t>
      </w:r>
      <w:r>
        <w:rPr>
          <w:b w:val="0"/>
          <w:i w:val="0"/>
        </w:rPr>
        <w:t xml:space="preserve"> are video calls, monthly in months 1–5 and every two months thereafter, with a standard agenda, a written minute within 48 hours and a rotating chair. </w:t>
      </w:r>
      <w:r>
        <w:rPr>
          <w:b/>
          <w:i w:val="0"/>
        </w:rPr>
        <w:t>Fast operational contact</w:t>
      </w:r>
      <w:r>
        <w:rPr>
          <w:b w:val="0"/>
          <w:i w:val="0"/>
        </w:rPr>
        <w:t xml:space="preserve"> happens in a closed messaging group of the core team only, during the preparation and mobility weeks, with no personal data of participants. </w:t>
      </w:r>
      <w:r>
        <w:rPr>
          <w:b/>
          <w:i w:val="0"/>
        </w:rPr>
        <w:t>Group leaders</w:t>
      </w:r>
      <w:r>
        <w:rPr>
          <w:b w:val="0"/>
          <w:i w:val="0"/>
        </w:rPr>
        <w:t xml:space="preserve"> have their own separate channel plus the two-day online briefing in month 4 covering safeguarding, escalation, reflection facilitation and the calibrated use of the observation grid. </w:t>
      </w:r>
      <w:r>
        <w:rPr>
          <w:b/>
          <w:i w:val="0"/>
        </w:rPr>
        <w:t>Participants</w:t>
      </w:r>
      <w:r>
        <w:rPr>
          <w:b w:val="0"/>
          <w:i w:val="0"/>
        </w:rPr>
        <w:t xml:space="preserve"> have the moderated cohort group and the four joint online sessions, active from month 3 to month 18, with explicit rules and facilitators moderating. </w:t>
      </w:r>
      <w:r>
        <w:rPr>
          <w:b/>
          <w:i w:val="0"/>
        </w:rPr>
        <w:t>Parents</w:t>
      </w:r>
      <w:r>
        <w:rPr>
          <w:b w:val="0"/>
          <w:i w:val="0"/>
        </w:rPr>
        <w:t xml:space="preserve"> have an online meeting per country in the local language, plus the written participant pack, in months 3–4, before parental consents are signed.</w:t>
      </w:r>
    </w:p>
    <w:p>
      <w:pPr>
        <w:spacing w:after="200"/>
      </w:pPr>
      <w:r>
        <w:rPr>
          <w:b w:val="0"/>
          <w:i/>
          <w:color w:val="5A5A5A"/>
          <w:sz w:val="16"/>
        </w:rPr>
        <w:t>≈ 1,088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i w:val="0"/>
        </w:rPr>
        <w:t>Youth organisations and youth structures in the three territories</w:t>
      </w:r>
      <w:r>
        <w:rPr>
          <w:b w:val="0"/>
          <w:i w:val="0"/>
        </w:rPr>
        <w:t xml:space="preserve"> carry the call to young people in their own networks, host local initiatives, and take the toolkit into their own standing activity afterwards. </w:t>
      </w:r>
      <w:r>
        <w:rPr>
          <w:b/>
          <w:i w:val="0"/>
        </w:rPr>
        <w:t>Libraries and community centres</w:t>
      </w:r>
      <w:r>
        <w:rPr>
          <w:b w:val="0"/>
          <w:i w:val="0"/>
        </w:rPr>
        <w:t xml:space="preserve"> host the local initiatives and the presentation of the toolkit, and are where it stays available afterwards. </w:t>
      </w:r>
      <w:r>
        <w:rPr>
          <w:b/>
          <w:i w:val="0"/>
        </w:rPr>
        <w:t>Local authorities</w:t>
      </w:r>
      <w:r>
        <w:rPr>
          <w:b w:val="0"/>
          <w:i w:val="0"/>
        </w:rPr>
        <w:t xml:space="preserve"> — the 14 partner municipalities of the LAG territory and their counterparts in the other three countries — validate the need, host the Day 5 community dialogue, provide spaces for the local initiatives and receive the evaluation report and its recommendations; they are not used for recruitment, because our data shows they reach only 6.2% of this age group. </w:t>
      </w:r>
      <w:r>
        <w:rPr>
          <w:b/>
          <w:i w:val="0"/>
        </w:rPr>
        <w:t>The LAG’s Social Inclusion Centre and the UNIC — Porolissum project</w:t>
      </w:r>
      <w:r>
        <w:rPr>
          <w:b w:val="0"/>
          <w:i w:val="0"/>
        </w:rPr>
        <w:t xml:space="preserve"> carry outreach to young people from vulnerable households, and are the channel through which the inclusion targets are actually met rather than hoped for. </w:t>
      </w:r>
      <w:r>
        <w:rPr>
          <w:b/>
          <w:i w:val="0"/>
        </w:rPr>
        <w:t>Local producers of the territory</w:t>
      </w:r>
      <w:r>
        <w:rPr>
          <w:b w:val="0"/>
          <w:i w:val="0"/>
        </w:rPr>
        <w:t xml:space="preserve"> supply meals through short supply chains and take part in the intercultural evening. </w:t>
      </w:r>
      <w:r>
        <w:rPr>
          <w:b/>
          <w:i w:val="0"/>
        </w:rPr>
        <w:t>Residents of the host village</w:t>
      </w:r>
      <w:r>
        <w:rPr>
          <w:b w:val="0"/>
          <w:i w:val="0"/>
        </w:rPr>
        <w:t xml:space="preserve"> are interlocutors in the Day 5 dialogue — participants in the learning, not scenery: the record of local rumours they help produce becomes the working material of Day 6. </w:t>
      </w:r>
      <w:r>
        <w:rPr>
          <w:b/>
          <w:i w:val="0"/>
        </w:rPr>
        <w:t>Local press</w:t>
      </w:r>
      <w:r>
        <w:rPr>
          <w:b w:val="0"/>
          <w:i w:val="0"/>
        </w:rPr>
        <w:t xml:space="preserve"> is invited to the Day 7 public presentation. </w:t>
      </w:r>
      <w:r>
        <w:rPr>
          <w:b/>
          <w:i w:val="0"/>
        </w:rPr>
        <w:t>National fact-checking and verification resources in the three countries</w:t>
      </w:r>
      <w:r>
        <w:rPr>
          <w:b w:val="0"/>
          <w:i w:val="0"/>
        </w:rPr>
        <w:t xml:space="preserve"> — Romanian, Turkish and Greek — are used as reference material in the Day 3 tool laboratory, one per partner country, so that participants leave with a resource usable at home in their own language [TO CONFIRM: the final list, checked for being free of charge and appropriate for minors]. And </w:t>
      </w:r>
      <w:r>
        <w:rPr>
          <w:b/>
          <w:i w:val="0"/>
        </w:rPr>
        <w:t>the LEADER and ELARD networks</w:t>
      </w:r>
      <w:r>
        <w:rPr>
          <w:b w:val="0"/>
          <w:i w:val="0"/>
        </w:rPr>
        <w:t xml:space="preserve"> carry the method to Local Action Groups across rural Europe, an audience that rarely encounters media-literacy tools at all.</w:t>
      </w:r>
    </w:p>
    <w:p>
      <w:pPr>
        <w:spacing w:after="200"/>
      </w:pPr>
      <w:r>
        <w:rPr>
          <w:b w:val="0"/>
          <w:i/>
          <w:color w:val="5A5A5A"/>
          <w:sz w:val="16"/>
        </w:rPr>
        <w:t>≈ 1,847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16 of 20</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16 of 20</w:t>
            </w:r>
          </w:p>
        </w:tc>
        <w:tc>
          <w:tcPr>
            <w:tcW w:type="dxa" w:w="2268"/>
          </w:tcPr>
          <w:p>
            <w:pPr>
              <w:spacing w:before="40" w:after="40"/>
            </w:pPr>
            <w:r/>
            <w:r>
              <w:rPr>
                <w:b w:val="0"/>
                <w:i w:val="0"/>
                <w:sz w:val="17"/>
              </w:rPr>
              <w:t>Observation grid, 4 techniques scored 0–2, six calibrated observers, 25%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12 of 20</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60 for 20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15 of 20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i w:val="0"/>
        </w:rPr>
        <w:t>Evaluation activities, in order.</w:t>
      </w:r>
      <w:r>
        <w:rPr>
          <w:b w:val="0"/>
          <w:i w:val="0"/>
        </w:rPr>
        <w:t xml:space="preserve"> Before month 2, both instruments are piloted with 5–8 young people aged 14–17 from the territory who are not project participants; any item that more than 80% or fewer than 10% of the pilot group answers correctly is rewritten, and neither instrument is used on the cohort untested. In month 2 the baseline is taken and the threshold recalibration rule is applied once, on the group mean, with the decision recorded in writing. In month 4 all six observers score the same recorded sequence independently and compare, targeting exact agreement on at least 80% of judgements; if it is not reached the grid is simplified before the mobility and that decision is minuted. During the mobility: daily reflection groups whose output visibly adjusts the next day’s programme, facilitator observation, the Day 4 grid with moderation immediately afterwards, and a mid-week check of individual learning targets. On Day 7: participatory evaluation, an anonymous written questionnaire, the Youthpass reflection, and the comparison of each participant’s Day 1 digital map with their Day 7 reflection. After each local initiative: attendance, a short report and the ten-minute exercise. Month 10: joint online review feeding a revision of the toolkit. Month 12: follow-up questionnaire. Month 17: participatory evaluation with participants plus a consortium evaluation meeting. Month 18: final test, comparison with baseline, evaluation report, and results communicated individually to each participant and collectively to parents, community partners, the 14 municipalities and the National Agency.</w:t>
      </w:r>
    </w:p>
    <w:p>
      <w:pPr>
        <w:jc w:val="both"/>
      </w:pPr>
      <w:r>
        <w:rPr>
          <w:b/>
          <w:i w:val="0"/>
        </w:rPr>
        <w:t>On honesty in evaluation.</w:t>
      </w:r>
      <w:r>
        <w:rPr>
          <w:b w:val="0"/>
          <w:i w:val="0"/>
        </w:rPr>
        <w:t xml:space="preserve"> The instruments are designed so that failure is visible. A practical test can show no improvement; an observation grid can record that a participant did not perform a technique; a participant who does not take both forms is excluded from the calculation and reported as excluded, rather than quietly dropped from the denominator. We prefer that to a satisfaction questionnaire that always comes back positive. Fifteen items and twenty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4,694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i w:val="0"/>
        </w:rPr>
        <w:t>Something concrete stays behind, and someone owns it.</w:t>
      </w:r>
      <w:r>
        <w:rPr>
          <w:b w:val="0"/>
          <w:i w:val="0"/>
        </w:rPr>
        <w:t xml:space="preserve"> The “Digital Detectives” toolkit — worksheets, exercises, games, verification grids, the manipulation-techniques grid produced by the participants and the AI-recognition sheet they wrote themselves — is tested during the mobility, revised in month 10 on the basis of what actually worked in the four local initiatives, and published free of charge in month 17 in English and Romanian, with French, Italian and Turkish translations delivered by the partners. It is not a report about the project. It is a set of materials a youth worker can pick up and use on a Tuesday afternoon.</w:t>
      </w:r>
    </w:p>
    <w:p>
      <w:pPr>
        <w:jc w:val="both"/>
      </w:pPr>
      <w:r>
        <w:rPr>
          <w:b/>
          <w:i w:val="0"/>
        </w:rPr>
        <w:t>It enters standing activity, not an archive.</w:t>
      </w:r>
      <w:r>
        <w:rPr>
          <w:b w:val="0"/>
          <w:i w:val="0"/>
        </w:rPr>
        <w:t xml:space="preser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i w:val="0"/>
        </w:rPr>
        <w:t>The twenty stay.</w:t>
      </w:r>
      <w:r>
        <w:rPr>
          <w:b w:val="0"/>
          <w:i w:val="0"/>
        </w:rPr>
        <w:t xml:space="preserve"> Participants are not released at the end. They have each already run a local initiative; the organisations then involve them as peer trainers, which is both cheaper and more effective than recruiting a new cohort from scratch. The cohort communication group remains open.</w:t>
      </w:r>
    </w:p>
    <w:p>
      <w:pPr>
        <w:jc w:val="both"/>
      </w:pPr>
      <w:r>
        <w:rPr>
          <w:b/>
          <w:i w:val="0"/>
        </w:rPr>
        <w:t>The instruments stay too.</w:t>
      </w:r>
      <w:r>
        <w:rPr>
          <w:b w:val="0"/>
          <w:i w:val="0"/>
        </w:rPr>
        <w:t xml:space="preserv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i w:val="0"/>
        </w:rPr>
        <w:t>The partnership decides its own future.</w:t>
      </w:r>
      <w:r>
        <w:rPr>
          <w:b w:val="0"/>
          <w:i w:val="0"/>
        </w:rPr>
        <w:t xml:space="preserv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2,091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LAG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i w:val="0"/>
        </w:rPr>
        <w:t>Visibility of the Programme.</w:t>
      </w:r>
      <w:r>
        <w:rPr>
          <w:b w:val="0"/>
          <w:i w:val="0"/>
        </w:rPr>
        <w:t xml:space="preserve"> All materials produced — toolkit, media products, presentations, press releases — carry the European Union emblem and the funding statement, in line with the Programme’s rules. On Day 1 participants have a short session on what Erasmus+ is and what stays open to them afterwards — the European Solidarity Corps, DiscoverEU, other exchanges — so that this project is not the end of their contact with the Programme.</w:t>
      </w:r>
    </w:p>
    <w:p>
      <w:pPr>
        <w:jc w:val="both"/>
      </w:pPr>
      <w:r>
        <w:rPr>
          <w:b/>
          <w:i w:val="0"/>
        </w:rPr>
        <w:t>Safeguarding in dissemination.</w:t>
      </w:r>
      <w:r>
        <w:rPr>
          <w:b w:val="0"/>
          <w:i w:val="0"/>
        </w:rPr>
        <w:t xml:space="preserve"> Because all participants are minors, every piece of content goes through a two-step review: the participant responsible for documentation prepares it, and the safeguarding focal point approves it before publication. No identifiable images of minors without written consent; no personal data of third parties; no location details for minors. This rule is written into the group agreement on Day 1, and it is itself part of the learning.</w:t>
      </w:r>
    </w:p>
    <w:p>
      <w:pPr>
        <w:spacing w:after="200"/>
      </w:pPr>
      <w:r>
        <w:rPr>
          <w:b w:val="0"/>
          <w:i/>
          <w:color w:val="5A5A5A"/>
          <w:sz w:val="16"/>
        </w:rPr>
        <w:t>≈ 2,528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20 participants aged 14–17, three groups from three countries (7 + 7 + 6),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