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venue,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territory, 96.9% of those aged 14–17 already use AI tools, yet they rate their own digital competence at 3.25 out of 5, and half of them build their picture of the world from social media. Nobody has taught them how to check any of it. VERIFAI turns twenty of them, from three peripheral European communities, into detectives: young people who can identify a source, check a date and a context, compare two independent sources, recognise a reused image and spot the signature of AI-generated content, and who then pass that on to others at home.</w:t>
      </w:r>
    </w:p>
    <w:p>
      <w:pPr>
        <w:jc w:val="both"/>
      </w:pPr>
      <w:r>
        <w:rPr>
          <w:b w:val="0"/>
          <w:i w:val="0"/>
        </w:rPr>
        <w:t>From a youth work perspective the problem is not ignorance but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Because confidence outruns competence, the method cannot be a lecture. Participants meet the false material and commit to a judgement before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therefore pursues three objectives, referred to throughout this application as O1, O2 and O3 in the order given here.</w:t>
      </w:r>
    </w:p>
    <w:p>
      <w:pPr>
        <w:pStyle w:val="ListNumber"/>
        <w:spacing w:after="40"/>
        <w:ind w:left="340"/>
      </w:pPr>
      <w:r>
        <w:rPr>
          <w:b w:val="0"/>
          <w:i w:val="0"/>
        </w:rPr>
        <w:t>By the end of the project, at least 16 of the 20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16 of the 20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20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jc w:val="both"/>
      </w:pPr>
      <w:r>
        <w:rPr>
          <w:b w:val="0"/>
          <w:i w:val="0"/>
        </w:rPr>
        <w:t>Each of the three is measured with an instrument that already exists in writing. The first uses a fifteen-item, thirty-point practical test taken in month 2 and again in month 18, with the same scoring method at both ends. The second uses a structured observation grid applied during the assessed session on Day 4 by observers trained and calibrated beforehand, which records what a participant actually does rather than what they can describe. The third uses a ten-minute exercise at the end of each local initiative, in which the young people reached name two checks, carry one out and draw a conclusion from what they find.</w:t>
      </w:r>
    </w:p>
    <w:p>
      <w:pPr>
        <w:jc w:val="both"/>
      </w:pPr>
      <w:r>
        <w:rPr>
          <w:b w:val="0"/>
          <w:i w:val="0"/>
        </w:rPr>
        <w:t>The 30% threshold is confirmed once the baseline exists, and the rule for adjusting it is fixed now rather than later: below a group mean of 9 out of 30 the threshold rises to 50%, above 18 out of 30 it falls to 20% with an absolute companion measure, and a participant who already scores 24 or more at the start meets the objective by holding 27 or more at the end. Writing this down in advance is what stops a threshold from quietly becoming a way of producing the answer we want.</w:t>
      </w:r>
    </w:p>
    <w:p>
      <w:pPr>
        <w:spacing w:after="200"/>
      </w:pPr>
      <w:r>
        <w:rPr>
          <w:b w:val="0"/>
          <w:i/>
          <w:color w:val="5A5A5A"/>
          <w:sz w:val="16"/>
        </w:rPr>
        <w:t>≈ 3,678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The project is built around one youth exchange of seven activity days plus two travel days, hosted in the Napoca Porolissum territory in the Apuseni Mountains, Romania, from 9 to 15 August 2027, inside the school summer holiday of all three countries. The programme moves from self-diagnosis in “My Digital Map” through the mechanics of manipulation in “Spot the Fake”, AI-generated content in “AI or human?”, a full fact-checking simulation in “Fact-checkers for a day”, a community and intercultural day in a village of the territory, media production in “Make It, Don’t Fake It”, and a public presentation with Youthpass reflection. Around the exchange sit four months of preparation, with four joint online sessions and a preparatory visit, and ten months of local application in which the participants run four local initiatives in their own communities.</w:t>
      </w:r>
    </w:p>
    <w:p>
      <w:pPr>
        <w:jc w:val="both"/>
      </w:pPr>
      <w:r>
        <w:rPr>
          <w:b w:val="0"/>
          <w:i w:val="0"/>
        </w:rPr>
        <w:t>Twenty young people aged 14–17 take part — seven from Romania, seven from Türkiye and six from Greece — accompanied by four group leaders and two facilitators, 26 people in all. They come from three peripheral communities: the rural mountain communes of the Napoca Porolissum territory in Cluj County, the İstanbul metropolitan periphery and the rural localities around it, and small islands of the South Aegean.</w:t>
      </w:r>
    </w:p>
    <w:p>
      <w:pPr>
        <w:jc w:val="both"/>
      </w:pPr>
      <w:r>
        <w:rPr>
          <w:b w:val="0"/>
          <w:i w:val="0"/>
        </w:rPr>
        <w:t>They share the profile this project is built for. Almost all of them use AI tools and social media every day, and for a large part of them social media is the news, yet none has been taught how to check any of it. Their access to non-formal learning is thin and their access to international learning close to nil: at least 15 of the 20 will be taking part in a European mobility for the first time, and in our territory 31.3% of young people aged 14–17 have never taken part in any non-formal education activity at all. At least 12 of the 20 face documented barriers, whether geographic, economic, educational, linguistic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2,084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val="0"/>
          <w:i w:val="0"/>
        </w:rPr>
        <w:t>The twenty participants end the project able to do something they could not do at the start, and with the evidence to show it: the same practical test taken at the beginning and at the end, an observation grid applied during the exchange, four short media products debunking real local myths that they made themselves, and Youthpass certificates built through daily reflection rather than handed out at the door. For most of them it is also a first international experience, which at fifteen, arriving from a mountain commune or a small island, is its own learning.</w:t>
      </w:r>
    </w:p>
    <w:p>
      <w:pPr>
        <w:jc w:val="both"/>
      </w:pPr>
      <w:r>
        <w:rPr>
          <w:b w:val="0"/>
          <w:i w:val="0"/>
        </w:rPr>
        <w:t>Their communities gain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Alongside them comes a “Digital Detectives” toolkit of worksheets, exercises, games and verification grids, tested during the exchange, rewritten on the basis of what happened in the field, published free of charge and handed to the youth workers, librarians and community educators who work with these young people week to week.</w:t>
      </w:r>
    </w:p>
    <w:p>
      <w:pPr>
        <w:jc w:val="both"/>
      </w:pPr>
      <w:r>
        <w:rPr>
          <w:b w:val="0"/>
          <w:i w:val="0"/>
        </w:rPr>
        <w:t>The three organisations keep a working method that survives the project. The coordinator integrates it into the youth animation work it already runs across its 14 partner municipalities; GGD takes it into the volunteer network it trains every year; KEA takes it into its creative activity centre for children and young people and out to the 36 islands it serves. Together they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 participants will not move a county-level statistic, still less a national one. The contribution is measurable change in twenty young people, documented extension to at least eighty more, and three instruments and one toolkit that stay in use in three organisations after the money stops.</w:t>
      </w:r>
    </w:p>
    <w:p>
      <w:pPr>
        <w:spacing w:after="200"/>
      </w:pPr>
      <w:r>
        <w:rPr>
          <w:b w:val="0"/>
          <w:i/>
          <w:color w:val="5A5A5A"/>
          <w:sz w:val="16"/>
        </w:rPr>
        <w:t>≈ 2,156 characters (assumed form limit 5,000 — within limit)</w:t>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26</w:t>
            </w:r>
          </w:p>
        </w:tc>
        <w:tc>
          <w:tcPr>
            <w:tcW w:type="dxa" w:w="2494"/>
          </w:tcPr>
          <w:p>
            <w:pPr>
              <w:spacing w:before="40" w:after="40"/>
            </w:pPr>
            <w:r/>
            <w:r>
              <w:rPr>
                <w:b w:val="0"/>
                <w:i w:val="0"/>
                <w:sz w:val="19"/>
              </w:rPr>
              <w:t>12</w:t>
            </w:r>
          </w:p>
        </w:tc>
      </w:tr>
      <w:tr>
        <w:tc>
          <w:tcPr>
            <w:tcW w:type="dxa" w:w="2835"/>
          </w:tcPr>
          <w:p>
            <w:pPr>
              <w:spacing w:before="40" w:after="40"/>
            </w:pPr>
            <w:r/>
            <w:r>
              <w:rPr>
                <w:b/>
                <w:i w:val="0"/>
                <w:sz w:val="19"/>
              </w:rPr>
              <w:t>Total</w:t>
            </w:r>
          </w:p>
        </w:tc>
        <w:tc>
          <w:tcPr>
            <w:tcW w:type="dxa" w:w="2041"/>
          </w:tcPr>
          <w:p>
            <w:pPr>
              <w:spacing w:before="40" w:after="40"/>
            </w:pPr>
            <w:r/>
            <w:r>
              <w:rPr>
                <w:b/>
                <w:i w:val="0"/>
                <w:sz w:val="19"/>
              </w:rPr>
              <w:t>1</w:t>
            </w:r>
          </w:p>
        </w:tc>
        <w:tc>
          <w:tcPr>
            <w:tcW w:type="dxa" w:w="2041"/>
          </w:tcPr>
          <w:p>
            <w:pPr>
              <w:spacing w:before="40" w:after="40"/>
            </w:pPr>
            <w:r/>
            <w:r>
              <w:rPr>
                <w:b/>
                <w:i w:val="0"/>
                <w:sz w:val="19"/>
              </w:rPr>
              <w:t>26</w:t>
            </w:r>
          </w:p>
        </w:tc>
        <w:tc>
          <w:tcPr>
            <w:tcW w:type="dxa" w:w="2494"/>
          </w:tcPr>
          <w:p>
            <w:pPr>
              <w:spacing w:before="40" w:after="40"/>
            </w:pPr>
            <w:r/>
            <w:r>
              <w:rPr>
                <w:b/>
                <w:i w:val="0"/>
                <w:sz w:val="19"/>
              </w:rPr>
              <w:t>12</w:t>
            </w:r>
          </w:p>
        </w:tc>
      </w:tr>
    </w:tbl>
    <w:p>
      <w:pPr>
        <w:spacing w:after="0"/>
      </w:pPr>
    </w:p>
    <w:p>
      <w:pPr>
        <w:spacing w:after="160"/>
      </w:pPr>
      <w:r>
        <w:rPr>
          <w:b w:val="0"/>
          <w:i/>
          <w:color w:val="5A5A5A"/>
          <w:sz w:val="17"/>
        </w:rPr>
        <w:t>26 persons = 20 participants aged 14–17 + 4 group leaders + 2 facilitators, in three national groups from Romania, Türkiye and Greece.</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2,500.00</w:t>
            </w:r>
          </w:p>
        </w:tc>
        <w:tc>
          <w:tcPr>
            <w:tcW w:type="dxa" w:w="5669"/>
          </w:tcPr>
          <w:p>
            <w:pPr>
              <w:spacing w:before="40" w:after="40"/>
            </w:pPr>
            <w:r/>
            <w:r>
              <w:rPr>
                <w:b w:val="0"/>
                <w:i w:val="0"/>
                <w:sz w:val="19"/>
              </w:rPr>
              <w:t>125 × 20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7,593.00</w:t>
            </w:r>
          </w:p>
        </w:tc>
        <w:tc>
          <w:tcPr>
            <w:tcW w:type="dxa" w:w="5669"/>
          </w:tcPr>
          <w:p>
            <w:pPr>
              <w:spacing w:before="40" w:after="40"/>
            </w:pPr>
            <w:r/>
            <w:r>
              <w:rPr>
                <w:b w:val="0"/>
                <w:i w:val="0"/>
                <w:sz w:val="19"/>
              </w:rPr>
              <w:t>Romania 9 persons × 56 (band 10–99 km); Türkiye 9 and Greece 8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12,328.00</w:t>
            </w:r>
          </w:p>
        </w:tc>
        <w:tc>
          <w:tcPr>
            <w:tcW w:type="dxa" w:w="5669"/>
          </w:tcPr>
          <w:p>
            <w:pPr>
              <w:spacing w:before="40" w:after="40"/>
            </w:pPr>
            <w:r/>
            <w:r>
              <w:rPr>
                <w:b w:val="0"/>
                <w:i w:val="0"/>
                <w:sz w:val="19"/>
              </w:rPr>
              <w:t>Romania 9 persons × 9 days × 46; Türkiye 9 and Greece 8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1,500.00</w:t>
            </w:r>
          </w:p>
        </w:tc>
        <w:tc>
          <w:tcPr>
            <w:tcW w:type="dxa" w:w="5669"/>
          </w:tcPr>
          <w:p>
            <w:pPr>
              <w:spacing w:before="40" w:after="40"/>
            </w:pPr>
            <w:r/>
            <w:r>
              <w:rPr>
                <w:b w:val="0"/>
                <w:i w:val="0"/>
                <w:sz w:val="19"/>
              </w:rPr>
              <w:t>125 × 12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3,400.00</w:t>
            </w:r>
          </w:p>
        </w:tc>
        <w:tc>
          <w:tcPr>
            <w:tcW w:type="dxa" w:w="5669"/>
          </w:tcPr>
          <w:p>
            <w:pPr>
              <w:spacing w:before="40" w:after="40"/>
            </w:pPr>
            <w:r/>
            <w:r>
              <w:rPr>
                <w:b w:val="0"/>
                <w:i w:val="0"/>
                <w:sz w:val="19"/>
              </w:rPr>
              <w:t>680 × 5 persons: 2 from each of the 2 sending organisations, one of them a young person, plus 1 staff member of the coordinating organisation</w:t>
            </w:r>
          </w:p>
        </w:tc>
      </w:tr>
      <w:tr>
        <w:tc>
          <w:tcPr>
            <w:tcW w:type="dxa" w:w="2494"/>
          </w:tcPr>
          <w:p>
            <w:pPr>
              <w:spacing w:before="40" w:after="40"/>
            </w:pPr>
            <w:r/>
            <w:r>
              <w:rPr>
                <w:b/>
                <w:i w:val="0"/>
                <w:sz w:val="19"/>
              </w:rPr>
              <w:t>Total</w:t>
            </w:r>
          </w:p>
        </w:tc>
        <w:tc>
          <w:tcPr>
            <w:tcW w:type="dxa" w:w="1247"/>
          </w:tcPr>
          <w:p>
            <w:pPr>
              <w:spacing w:before="40" w:after="40"/>
            </w:pPr>
            <w:r/>
            <w:r>
              <w:rPr>
                <w:b/>
                <w:i w:val="0"/>
                <w:sz w:val="19"/>
              </w:rPr>
              <w:t>29,321.00</w:t>
            </w:r>
          </w:p>
        </w:tc>
        <w:tc>
          <w:tcPr>
            <w:tcW w:type="dxa" w:w="5669"/>
          </w:tcPr>
          <w:p>
            <w:pPr>
              <w:spacing w:before="40" w:after="40"/>
            </w:pPr>
            <w:r/>
            <w:r>
              <w:rPr>
                <w:b w:val="0"/>
                <w:i w:val="0"/>
                <w:sz w:val="19"/>
              </w:rPr>
              <w:t>Of which 25,921.00 is the Activity 01 grant and 3,400.00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25,921.00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25,921.00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a non-governmental, non-profit association registered in Romania under Government Ordinance 26/2000, based in Gilău, Cluj County, in the Apuseni Mountains. Our registered main sector of activity is offering participation in youth-led events and youth participation activities.</w:t>
      </w:r>
    </w:p>
    <w:p>
      <w:pPr>
        <w:jc w:val="both"/>
      </w:pPr>
      <w:r>
        <w:rPr>
          <w:b w:val="0"/>
          <w:i w:val="0"/>
        </w:rPr>
        <w:t>We were founded in 2011 as a Local Action Group under the LEADER programme, which makes us a public-private partnership rather than a single organisation. We have 43 members, listed and signed in the record of our General Assembly of 17 October 2023: 14 municipalities — Aghireșu, Beliș, Călățele, Căpușu Mare, Gilău, Huedin, Izvorul Crișului, Măguri-Răcătău, Mănăstireni, Mărgău, Mărișel, Rîșca, Săcuieu and Sâncraiu — one university, and 28 private companies, NGOs and authorised individuals, among them the professional social workers’ association PROSOCIAL. Our staff work across several projects at once and most of them speak English and French.</w:t>
      </w:r>
    </w:p>
    <w:p>
      <w:pPr>
        <w:jc w:val="both"/>
      </w:pPr>
      <w:r>
        <w:rPr>
          <w:b w:val="0"/>
          <w:i w:val="0"/>
        </w:rPr>
        <w:t>Those 14 localities are our territory: a rural mountain area where young people live 40 to 80 kilometres from the nearest city, where the offer of youth activities is thin, and where community life runs in two languages, Romanian and Hungarian. Everything we do happens there, with the people who live there, and LEADER gives us one method we apply to all of it. We analyse the territory, ask the people affected what they need, design with them and measure what changed. Two Local Development Strategies have been built and implemented that way, and the current one, covering 2023 to 2027, has already launched calls that help rural young people develop skills, cooperate and start their own businesses. It is also how this project began, with a survey of 153 young people in our own communes rather than with a wish to run a mobility.</w:t>
      </w:r>
    </w:p>
    <w:p>
      <w:pPr>
        <w:jc w:val="both"/>
      </w:pPr>
      <w:r>
        <w:rPr>
          <w:b w:val="0"/>
          <w:i w:val="0"/>
        </w:rPr>
        <w:t>On 17 October 2023 our General Assembly decided, unanimously, to establish a Youth Department inside the association and appointed Claudiu Iancu as its Coordinator. That decision matters more than it may look, because it means youth work here does not depend on whichever project happens to be running: it is a standing department with a named coordinator and a mandate from the members, including the 14 mayors who voted for it.</w:t>
      </w:r>
    </w:p>
    <w:p>
      <w:pPr>
        <w:jc w:val="both"/>
      </w:pPr>
      <w:r>
        <w:rPr>
          <w:b w:val="0"/>
          <w:i w:val="0"/>
        </w:rPr>
        <w:t>Beyond projects, we are accredited as a social economy entrepreneur, and through a European Social Fund programme between 2021 and 2023 we trained 99 people from disadvantaged households in social entrepreneurship. Our Social Inclusion Centre and the UNIC — Porolissum project put us in weekly contact with vulnerable families, which is how we reach young people an online call never touches. We also run much of the cultural and educational infrastructure young people here actually have: Ruraliada, a three-day arts festival in Beliș funded by the National Recovery and Resilience Plan; The School — children’s painting, which brings artists into village schools; Christmas markets in Mărișel and Beliș; an annual Diversity Day; and educational camps at home and abroad.</w:t>
      </w:r>
    </w:p>
    <w:p>
      <w:pPr>
        <w:jc w:val="both"/>
      </w:pPr>
      <w:r>
        <w:rPr>
          <w:b w:val="0"/>
          <w:i w:val="0"/>
        </w:rPr>
        <w:t>At European level we coordinate EMPOWER+ — Empowering Rural Youth: Establishing and Strengthening the Rural Youth Parliament in Sub-Saharan Africa (101243075), a Capacity Building project in which we lead nine organisations across seven countries, and we coordinated Rural Youth Parliament — tool for youth involvement in local communities (2021-1-RO01-KA220-YOU-000029265). We have been a partner in youth projects with coordinators in Ireland, Spain, Italy, France and Türkiye, including YOU PRO CLIMA (2023-1-IT03-KA220-YOU-000155348) and ALL4JOBS (2024-1-IT03-KA220-YOU-000248804), and in a youth-worker mobility project led from Türkiye (2025-1-TR01-KA153-YOU-000297756).</w:t>
      </w:r>
    </w:p>
    <w:p>
      <w:pPr>
        <w:jc w:val="both"/>
      </w:pPr>
      <w:r>
        <w:rPr>
          <w:b w:val="0"/>
          <w:i w:val="0"/>
        </w:rPr>
        <w:t>What we have never done is host a youth exchange, and that is the deliberate next step, because hosting means owning the learning programme, the venue, the safety of twenty minors and the relationship with the host community. We have the territory, the venue network, the 14 municipalities, the Social Inclusion Centre, an in-house youth worker and trainer, and a Youth Department created for exactly this. What we do not yet have is KA152 experience, which is why we are doing it with partners who complement us, and why the learning programme, the safeguarding arrangements and the three measurement instruments were written before we asked for the money.</w:t>
      </w:r>
    </w:p>
    <w:p>
      <w:pPr>
        <w:spacing w:after="200"/>
      </w:pPr>
      <w:r>
        <w:rPr>
          <w:b w:val="0"/>
          <w:i/>
          <w:color w:val="5A5A5A"/>
          <w:sz w:val="16"/>
        </w:rPr>
        <w:t>≈ 4,365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has a named owner and a permanent home. On 17 October 2023 our General Assembly unanimously established a Youth Department inside the association and appointed Claudiu Iancu as its Coordinator, with the mayors of our 14 communes voting. What follows is what runs.</w:t>
      </w:r>
    </w:p>
    <w:p>
      <w:pPr>
        <w:jc w:val="both"/>
      </w:pPr>
      <w:r>
        <w:rPr>
          <w:b w:val="0"/>
          <w:i w:val="0"/>
        </w:rPr>
        <w:t>The Rural Youth Parliament is the centre of it. We created it through the Erasmus+ project Rural Youth Parliament (2021-1-RO01-KA220-YOU-000029265) as an informal group of young people and youth workers, and we still coordinate it. It runs its own campaigns: every winter it collects and distributes gifts to children in low-income families, every August it runs “Full Backpack”, giving school supplies so children start the year with what they need, and through the year it organises tree-planting and clean-up actions, movie nights for younger children and blood donation drives. It also staffs every event we hold, including LINC and the community brunches.</w:t>
      </w:r>
    </w:p>
    <w:p>
      <w:pPr>
        <w:jc w:val="both"/>
      </w:pPr>
      <w:r>
        <w:rPr>
          <w:b w:val="0"/>
          <w:i w:val="0"/>
        </w:rPr>
        <w:t>Alongside it we run environmental education at scale. Choose Green!, financed by the Environmental Fund Administration in 2024–2025, works with 510 young people aged 6 to 18 through 12 workshops and 36 awareness campaigns, two educational trips and an interactive learning application we built. Put the Green in Motion!, over the same period, reaches 520 young people across 14 localities through 12 workshops, a biodiversity camp, a field trip to the Rodna Mountains and 24 media campaigns. That is over a thousand young people in two years, in workshops we designed and ran.</w:t>
      </w:r>
    </w:p>
    <w:p>
      <w:pPr>
        <w:jc w:val="both"/>
      </w:pPr>
      <w:r>
        <w:rPr>
          <w:b w:val="0"/>
          <w:i w:val="0"/>
        </w:rPr>
        <w:t>For three editions we also ran Green Campus with the University of Agricultural Sciences and Veterinary Medicine in Cluj-Napoca, bringing at least 150 high-school students and over 50 volunteers per edition onto a university campus, to show rural teenagers that higher education is for them. A separate programme for 185 students combined guidance and counselling, a workshop on equal opportunities and non-discrimination, internships with local employers and practice workshops abroad for 12 of them.</w:t>
      </w:r>
    </w:p>
    <w:p>
      <w:pPr>
        <w:jc w:val="both"/>
      </w:pPr>
      <w:r>
        <w:rPr>
          <w:b w:val="0"/>
          <w:i w:val="0"/>
        </w:rPr>
        <w:t>We also ask young people what they need rather than assuming it. In spring and summer 2026 a bilingual Romanian/Hungarian survey brought 153 responses from 12 of our 14 communes, 96 of them from young people aged 14–17 — the evidence base of this application. We reach them through open calls in schools, NGOs and youth networks, through direct outreach by our own youth workers, and through youth groups that already exist.</w:t>
      </w:r>
    </w:p>
    <w:p>
      <w:pPr>
        <w:jc w:val="both"/>
      </w:pPr>
      <w:r>
        <w:rPr>
          <w:b w:val="0"/>
          <w:i w:val="0"/>
        </w:rPr>
        <w:t xml:space="preserve">The work will be done by five people. </w:t>
      </w:r>
      <w:r>
        <w:rPr>
          <w:b/>
          <w:i w:val="0"/>
        </w:rPr>
        <w:t>Claudiu Iancu</w:t>
      </w:r>
      <w:r>
        <w:rPr>
          <w:b w:val="0"/>
          <w:i w:val="0"/>
        </w:rPr>
        <w:t>, Coordinator of our Youth Department and, in this project, Learning Programme Coordinator and lead facilitator, is a youth worker and community facilitator holding a Trainer qualification and five Europass mobility certificates, with a BSc in Economic Engineering in Agriculture and an MSc in Rural Development. He has around three years inside Local Action Groups on rural development, social inclusion and non-formal education, after work in adult education that trained over 1,000 adults. He managed a European Solidarity Corps project, has been involved in more than five Erasmus+ Youth projects, and in the past three years has organised and facilitated over 50 youth events. He coordinated the Rural Youth Parliament and was Youth Leader in YOU PRO CLIMA, and here he owns the learning programme, the three measurement instruments, the facilitation team and Youthpass.</w:t>
      </w:r>
    </w:p>
    <w:p>
      <w:pPr>
        <w:jc w:val="both"/>
      </w:pPr>
      <w:r>
        <w:rPr>
          <w:b/>
          <w:i w:val="0"/>
        </w:rPr>
        <w:t>Alina Ioana Baba</w:t>
      </w:r>
      <w:r>
        <w:rPr>
          <w:b w:val="0"/>
          <w:i w:val="0"/>
        </w:rPr>
        <w:t xml:space="preserve">, project manager, holds two degrees in Legal Sciences and Public Administration, three master’s degrees and a PhD in economics. She has managed the association for over ten years and spent more than fifteen on social inclusion, vocational training and labour-market integration projects, and she carries coordination, the National Agency relationship, the budget, reporting and risk decisions. </w:t>
      </w:r>
      <w:r>
        <w:rPr>
          <w:b/>
          <w:i w:val="0"/>
        </w:rPr>
        <w:t>Livia Golovatic</w:t>
      </w:r>
      <w:r>
        <w:rPr>
          <w:b w:val="0"/>
          <w:i w:val="0"/>
        </w:rPr>
        <w:t>, activity coordinator and Romanian group leader, has a BA in International Relations and European Studies and is completing a master’s in European Affairs and Programme Management while working as assistant manager on our Local Development Strategy; she brings experience in Erasmus+ Youth and VET projects and in youth participation, and she runs the joint online preparation sessions, leads the Romanian group and coordinates the four local initiatives.</w:t>
      </w:r>
    </w:p>
    <w:p>
      <w:pPr>
        <w:jc w:val="both"/>
      </w:pPr>
      <w:r>
        <w:rPr>
          <w:b/>
          <w:i w:val="0"/>
        </w:rPr>
        <w:t>Marilena Georgescu</w:t>
      </w:r>
      <w:r>
        <w:rPr>
          <w:b w:val="0"/>
          <w:i w:val="0"/>
        </w:rPr>
        <w:t xml:space="preserve">, inclusion and safeguarding lead, has higher education in Social Assistance and Law, a master’s in Project Management and qualifications in train-the-trainer and socio-educational animation, with fourteen years in social inclusion projects and experience coordinating social service centres including a day centre for children; she is the safeguarding focal point, deliberately outside the facilitation team. </w:t>
      </w:r>
      <w:r>
        <w:rPr>
          <w:b/>
          <w:i w:val="0"/>
        </w:rPr>
        <w:t>Iulia Fătu</w:t>
      </w:r>
      <w:r>
        <w:rPr>
          <w:b w:val="0"/>
          <w:i w:val="0"/>
        </w:rPr>
        <w:t>, responsible for finance and logistics, holds two bachelor’s and two master’s degrees including Audit and Financial Management of European Funds and has worked on European projects since 2014, handling the budget, procurement, contracting, insurance, the venue risk assessment and reporting.</w:t>
      </w:r>
    </w:p>
    <w:p>
      <w:pPr>
        <w:spacing w:after="200"/>
      </w:pPr>
      <w:r>
        <w:rPr>
          <w:b w:val="0"/>
          <w:i/>
          <w:color w:val="5A5A5A"/>
          <w:sz w:val="16"/>
        </w:rPr>
        <w:t>≈ 4,986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val="0"/>
          <w:i w:val="0"/>
        </w:rPr>
        <w:t xml:space="preserve">In the areas this project works on,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val="0"/>
          <w:i w:val="0"/>
        </w:rPr>
        <w:t xml:space="preserve">For the same reason, </w:t>
      </w:r>
      <w:r>
        <w:rPr>
          <w:b/>
          <w:i w:val="0"/>
        </w:rPr>
        <w:t>one of the two facilitators of the exchange is designated by GGD</w:t>
      </w:r>
      <w:r>
        <w:rPr>
          <w:b w:val="0"/>
          <w:i w:val="0"/>
        </w:rPr>
        <w:t>: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4,217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val="0"/>
          <w:i w:val="0"/>
        </w:rPr>
        <w:t xml:space="preserve">In the areas this project works on,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val="0"/>
          <w:i w:val="0"/>
        </w:rPr>
        <w:t>KEA is a newcomer to this Action rather than to the Programme: it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val="0"/>
          <w:i w:val="0"/>
        </w:rPr>
        <w:t>The Greek group travels with two adults because of the journey itself. Six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six minors. The National Call allows one group leader for every four young people, so four group leaders for twenty participants remains below that ceiling, and the Call makes explicit provision for well-justified cases involving minors. Six adults accompany twenty minors — one adult per 3.3 participants.</w:t>
      </w:r>
    </w:p>
    <w:p>
      <w:pPr>
        <w:spacing w:after="200"/>
      </w:pPr>
      <w:r>
        <w:rPr>
          <w:b w:val="0"/>
          <w:i/>
          <w:color w:val="5A5A5A"/>
          <w:sz w:val="16"/>
        </w:rPr>
        <w:t>≈ 3,683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val="0"/>
          <w:i w:val="0"/>
        </w:rPr>
        <w:t>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 That is the need, and it is measured rather than assumed.</w:t>
      </w:r>
    </w:p>
    <w:p>
      <w:pPr>
        <w:jc w:val="both"/>
      </w:pPr>
      <w:r>
        <w:rPr>
          <w:b w:val="0"/>
          <w:i w:val="0"/>
        </w:rPr>
        <w:t>Between spring and summer 2026 we ran a bilingual Romanian/Hungarian survey among young people in our territory and received 153 responses from 12 of our 14 localities. Ninety-six respondents are aged 14–17, exactly the target group of this project. Among them, 96.9% already use AI tools and 20.8% rate their own digital competence as low, with a group mean of 3.25 out of 5;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us. Read together, those figures are the whole problem: use is universal, competence has not followed.</w:t>
      </w:r>
    </w:p>
    <w:p>
      <w:pPr>
        <w:jc w:val="both"/>
      </w:pPr>
      <w:r>
        <w:rPr>
          <w:b w:val="0"/>
          <w:i w:val="0"/>
        </w:rPr>
        <w:t>The same picture appears in Greece, where KEA IM Syrou produced a needs analysis for the South Aegean. Greece scores 50.96 on the DESI index for basic digital competences, 22nd of 27 Member States against an EU average of 60.40, and the deficit is sharpest in isolated island areas. In a 2025 nationwide survey Greek students named misinformation as a primary risk only fifth, behind data theft, excessive use and contact with strangers. The consequence is measurable: 80% of Greek students cannot distinguish a real article from a fake one or from a sponsored advertisement, and many report judging an article by the size of its photograph. Greek academic studies confirm the same gap we found, where self-reported confidence rarely matches performance in a structured assessment.</w:t>
      </w:r>
    </w:p>
    <w:p>
      <w:pPr>
        <w:jc w:val="both"/>
      </w:pPr>
      <w:r>
        <w:rPr>
          <w:b w:val="0"/>
          <w:i w:val="0"/>
        </w:rPr>
        <w:t>Read against our own data the two territories line up almost exactly. Romania has the highest share of young people with low digital skills in the Union; Greece sits 22nd of 27. Here, 96.9% of 14–17-year-olds use AI tools while rating their own competence barely above the midpoint; there, four fifths of students cannot tell a real article from a fake one while naming misinformation as only their fifth concern. The same overconfidence, in the two places in Europe least equipped to correct it, is the shared condition this partnership is built on. GGD completes the picture with the same ten-question consultation in its own community before submission, with at least 20–25 young people aged 14–17 from the İstanbul periphery and the rural localities it works with, delivered as a one-page needs note. [TO CONFIRM: GGD’s findings.]</w:t>
      </w:r>
    </w:p>
    <w:p>
      <w:pPr>
        <w:jc w:val="both"/>
      </w:pPr>
      <w:r>
        <w:rPr>
          <w:b w:val="0"/>
          <w:i w:val="0"/>
        </w:rPr>
        <w:t>European data points the same way. The Flash Eurobarometer “Youth Survey 2024” (EP013EP), carried out by Ipsos for the European Parliament among 25,863 respondents aged 16–30, found that more than three quarters of young Europeans believe they met disinformation in the previous week while 70% feel confident they can recognise it. Romania records the highest share in the Union of young people saying they encountered none at all, 19% against 1% in Cyprus, while 31% declare themselves very confident: Romanian young people are simultaneously the least likely in Europe to notice disinformation and among the most certain they would recognise it.</w:t>
      </w:r>
    </w:p>
    <w:p>
      <w:pPr>
        <w:jc w:val="both"/>
      </w:pPr>
      <w:r>
        <w:rPr>
          <w:b w:val="0"/>
          <w:i w:val="0"/>
        </w:rPr>
        <w:t>That shapes the design. If the problem were a lack of confidence the answer would be encouragement; because it is untrained confidence, the answer is a controlled experience of being wrong. Day 1 starts with participants mapping their own media diet rather than with a presentation, and on Day 2 the false material is judged before the verdict is revealed. It is also why the project needs a genuinely international group: a stereotype is at its least defensible when a young person from the community it targets is in the room.</w:t>
      </w:r>
    </w:p>
    <w:p>
      <w:pPr>
        <w:jc w:val="both"/>
      </w:pPr>
      <w:r>
        <w:rPr>
          <w:b w:val="0"/>
          <w:i w:val="0"/>
        </w:rPr>
        <w:t>The three communities do not look alike and we will not pretend they do, but what their young people share is narrow and exact. They are peripheral in three different ways — an isolated rural mountain area of 14 localities, a metropolitan periphery with the rural communities beyond it, and small islands scattered across a region of 36 — which produces the same result at the door of a European programme: a journey longer, costlier and harder to organise than from a capital city. Information reaches them through channels nobody corrects, since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And in all three, use has outrun competence. The practical offer that would fix this exists in none of them.</w:t>
      </w:r>
    </w:p>
    <w:p>
      <w:pPr>
        <w:jc w:val="both"/>
      </w:pPr>
      <w:r>
        <w:rPr>
          <w:b w:val="0"/>
          <w:i w:val="0"/>
        </w:rPr>
        <w:t>Against that need the project sets three objectives, worded here exactly as they appear in the project summary and in the evaluation section.</w:t>
      </w:r>
    </w:p>
    <w:p>
      <w:pPr>
        <w:pStyle w:val="ListNumber"/>
        <w:spacing w:after="40"/>
        <w:ind w:left="340"/>
      </w:pPr>
      <w:r>
        <w:rPr>
          <w:b w:val="0"/>
          <w:i w:val="0"/>
        </w:rPr>
        <w:t>By the end of the project, at least 16 of the 20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16 of the 20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20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spacing w:after="200"/>
      </w:pPr>
      <w:r>
        <w:rPr>
          <w:b w:val="0"/>
          <w:i/>
          <w:color w:val="5A5A5A"/>
          <w:sz w:val="16"/>
        </w:rPr>
        <w:t>≈ 5,997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val="0"/>
          <w:i w:val="0"/>
        </w:rPr>
        <w:t>Digital transformation is the substance of this project rather than its label. VERIFAI builds the part of digital competence that use alone never produces, because our participants can already operate the tools but cannot find out where something came from. The project develops three things in order: using digital and AI tools responsibly and with their limits understood; checking sources, meaning who published an item, who wrote it, when, in what original context, and whether any independent source says the same; and recognising false, manipulated or artificially generated content, including content they could produce themselves. That priority defines the need, the participant profile, every method in the agenda, the four media products, the toolkit and the two instruments that measure whether it worked. It also matches what the National Agency has said it is looking for in 2026, since among projects addressing digital transformation priority goes to those that tackle disinformation and promote digital literacy.</w:t>
      </w:r>
    </w:p>
    <w:p>
      <w:pPr>
        <w:jc w:val="both"/>
      </w:pPr>
      <w:r>
        <w:rPr>
          <w:b w:val="0"/>
          <w:i w:val="0"/>
        </w:rPr>
        <w:t>Checking a claim is also a precondition of taking part in democratic life, because without it a vote, a public argument or a civic initiative rests on false premises. Our participants are 14 to 17 now, which means most of them will cast their first ballot within four to six years of this project, and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val="0"/>
          <w:i w:val="0"/>
        </w:rPr>
        <w:t>Inclusion runs through the design rather than alongside it, and each barrier our participants face is answered by a concrete measure. The exchange is hosted inside our own territory and transport is paid from each participant’s own front door, which answers the geographic barrier; there is no participation fee of any kind, stated in writing from the day the call is published, which answers the economic one; English is not a selection criterion and A2 is accepted, with a glossary built in four languages, which answers the linguistic one; and preparation runs over four months rather than four weeks, with a parents’ meeting in each country before consents are signed and a stated right to leave a session without giving a reason, which answers the social and educational ones. At least 12 of the 20 participants face documented barriers and at least 15 travel on a European mobility for the first time. The measures are set out in full under Participants with fewer opportunities.</w:t>
      </w:r>
    </w:p>
    <w:p>
      <w:pPr>
        <w:jc w:val="both"/>
      </w:pPr>
      <w:r>
        <w:rPr>
          <w:b w:val="0"/>
          <w:i w:val="0"/>
        </w:rPr>
        <w:t>The Action’s own objectives are addressed directly.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meets each of these, and the third structurally, because the working material of Day 2 includes real content that feeds ethnic, gender and migration stereotypes, analysed in mixed teams in which young people from the targeted communities are present.</w:t>
      </w:r>
    </w:p>
    <w:p>
      <w:pPr>
        <w:jc w:val="both"/>
      </w:pPr>
      <w:r>
        <w:rPr>
          <w:b w:val="0"/>
          <w:i w:val="0"/>
        </w:rPr>
        <w:t>Within the EU Youth Strategy the project addresses Goal 4, Information and Constructive Dialogue, which is its very object; Goal 6, Moving Rural Youth Forward, since the activity takes place in a rural mountain territory and the multiplication happens in the participants’ own localities; and Goal 9, Space and Participation for All, since participants co-design the programme, choose the subjects to be verified and lead their own local initiatives. In the Strategy’s “Connecting” field of action it creates exactly the link the Strategy looks for, with young people from three European peripheries discovering that they have the same problem and working on it together.</w:t>
      </w:r>
    </w:p>
    <w:p>
      <w:pPr>
        <w:jc w:val="both"/>
      </w:pPr>
      <w:r>
        <w:rPr>
          <w:b w:val="0"/>
          <w:i w:val="0"/>
        </w:rPr>
        <w:t>Common EU values are anchored in three concrete places rather than declared. Disinformation attacks human dignity through dehumanising content, equality through algorithmically amplified stereotypes, and the rule of law by eroding trust in institutions. Against that,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Romanian, Hungarian, Turkish and Greek; and the analysis of stereotype-bearing content is deliberately done in the presence of the people it targets.</w:t>
      </w:r>
    </w:p>
    <w:p>
      <w:pPr>
        <w:spacing w:after="200"/>
      </w:pPr>
      <w:r>
        <w:rPr>
          <w:b w:val="0"/>
          <w:i/>
          <w:color w:val="5A5A5A"/>
          <w:sz w:val="16"/>
        </w:rPr>
        <w:t>≈ 4,746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val="0"/>
          <w:i w:val="0"/>
        </w:rPr>
        <w:t>Every participant takes the same fifteen-item practical verification test in month 2 and its equivalent in month 18, and we expect at least sixteen of the twenty to improve their score by at least 30%. During the mobility an observation grid records whether each of them actually performs four named techniques in the Day 4 simulation, rather than whether they can describe them. That distinction matters here more than it would elsewhere, because our starting point is a group that already believes it can spot a fake, so the gain has to be documented rather than asserted.</w:t>
      </w:r>
    </w:p>
    <w:p>
      <w:pPr>
        <w:jc w:val="both"/>
      </w:pPr>
      <w:r>
        <w:rPr>
          <w:b w:val="0"/>
          <w:i w:val="0"/>
        </w:rPr>
        <w:t>For most of them this is also a first European experience. At least 15 of the 20 will be taking part in a European mobility for the first time, and in our territory 31.3% of young people aged 14–17 have never taken part in any non-formal education activity at all. For those participants the gain is not only thematic, because working in a mixed international team, in English, with people they have never met, is itself the learning — and it is what they asked for, since 60.4% of the 14–17 group named foreign languages and intercultural communication as what they most want out of a European mobility.</w:t>
      </w:r>
    </w:p>
    <w:p>
      <w:pPr>
        <w:jc w:val="both"/>
      </w:pPr>
      <w:r>
        <w:rPr>
          <w:b w:val="0"/>
          <w:i w:val="0"/>
        </w:rPr>
        <w:t>The project also gives them something to do afterwards. Each participant leaves the mobility with a written commitment and a role in one of the four local initiatives, which they design and lead themselves while the group leader supports rather than directs. This is where a fifteen-year-old moves from “I learned something” to “I taught twenty people”, and in our experience it is the part that changes how they see themselves.</w:t>
      </w:r>
    </w:p>
    <w:p>
      <w:pPr>
        <w:jc w:val="both"/>
      </w:pPr>
      <w:r>
        <w:rPr>
          <w:b w:val="0"/>
          <w:i w:val="0"/>
        </w:rPr>
        <w:t>What they learn, they can name, document and use. Youthpass is worked on from Day 1 through a learning diary and daily reflection groups, held in the national group and in the participant’s own language first and then in plenary, and closed on Day 7 in a dedicated session. The value lies in the process rather than the paper, because it teaches a sixteen-year-old to identify what they actually learned, document it with evidence they can point to, and present it in a form someone else understands. That is what makes the certificate usable afterwards, in the next learning activity they join, in volunteering, in a civic initiative in their own community, and in the next international mobility they apply for.</w:t>
      </w:r>
    </w:p>
    <w:p>
      <w:pPr>
        <w:jc w:val="both"/>
      </w:pPr>
      <w:r>
        <w:rPr>
          <w:b w:val="0"/>
          <w:i w:val="0"/>
        </w:rPr>
        <w:t>Six months after the exchange a follow-up questionnaire asks what they still use. The honest expectation is not that all twenty become fact-checkers, but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2,665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val="0"/>
          <w:i w:val="0"/>
        </w:rPr>
        <w:t>For the coordinator this is a deliberate step in the organisation’s development. LAG Napoca Porolissum has run youth projects as partner and as coordinator, but never as hosting organisation for a youth exchange, and hosting means owning the learning programme, the venue, the safety of twenty minors and the relationship with the host community. It converts a network of 43 members and 14 municipalities from a rural-development asset into a youth-work asset, and the organisation ends the project with a tested non-formal learning programme, three measurement instruments it did not have, and a child protection policy that will apply to everything it does afterwards.</w:t>
      </w:r>
    </w:p>
    <w:p>
      <w:pPr>
        <w:jc w:val="both"/>
      </w:pPr>
      <w:r>
        <w:rPr>
          <w:b w:val="0"/>
          <w:i w:val="0"/>
        </w:rPr>
        <w:t>Genç Gönüllüler Derneği brings production and technology expertise and gains the verification methodology it currently lacks. For an organisation that already convened a hundred specialists to work out what children need from digital content, and that has an artificial intelligence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val="0"/>
          <w:i w:val="0"/>
        </w:rPr>
        <w:t>For KEA IM Syrou this is a first Erasmus+ youth mobility. Its Erasmus+ experience is in adult education partnerships and its youth work has run through national and ESF programmes, so it gains a first structured experience of KA152 alongside a coordinator that carries the financial and reporting load. It also gains a tested method it can put into its creative activity centre for children and young people and carry out to the 36 islands it already serves, where the alternative is nothing at all, and one that sits naturally inside the child-poverty action plan it is currently implementing in Naxos and Kea, which already includes school dropout prevention and professional orientation.</w:t>
      </w:r>
    </w:p>
    <w:p>
      <w:pPr>
        <w:jc w:val="both"/>
      </w:pPr>
      <w:r>
        <w:rPr>
          <w:b w:val="0"/>
          <w:i w:val="0"/>
        </w:rPr>
        <w:t>Together the three produce something none of them has separately: an evidenced answer to a problem all three communities share, in a form other peripheral territories can pick up. In month 17 they formally assess whether to continue, and with what — either a second exchange hosted by another partner, or a youth participation project on dialogue with local decision-makers — and the decision is minuted either way, including if it is not to continue.</w:t>
      </w:r>
    </w:p>
    <w:p>
      <w:pPr>
        <w:spacing w:after="200"/>
      </w:pPr>
      <w:r>
        <w:rPr>
          <w:b w:val="0"/>
          <w:i/>
          <w:color w:val="5A5A5A"/>
          <w:sz w:val="16"/>
        </w:rPr>
        <w:t>≈ 2,377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val="0"/>
          <w:i w:val="0"/>
        </w:rPr>
        <w:t>Locally, at least 80 young people are reached directly through the four local initiatives, hosted in youth centres, libraries, community centres, the partner organisations’ own spaces and other accessible public places. In Romania the results are also presented across the 14 localities of the territory through the community events the organisation already runs every year, so that young people who did not take part still meet the material and the four media products circulate where the myths they debunk actually circulate.</w:t>
      </w:r>
    </w:p>
    <w:p>
      <w:pPr>
        <w:jc w:val="both"/>
      </w:pPr>
      <w:r>
        <w:rPr>
          <w:b w:val="0"/>
          <w:i w:val="0"/>
        </w:rPr>
        <w:t>Regionally, the “Digital Detectives” toolkit is offered free of charge to the youth organisations, libraries and community centres of the territory, with a presentation session for the youth workers and librarians who will use it, and the 14 partner municipalities receive the evaluation report and a short set of recommendations. Romania has no coordinated national media-literacy strategy and its policies in this area are fragmented across separate legal frameworks, so a tested, free, ready-to-use set of materials in the hands of people who already work with rural young people has a value out of proportion to the size of this project.</w:t>
      </w:r>
    </w:p>
    <w:p>
      <w:pPr>
        <w:jc w:val="both"/>
      </w:pPr>
      <w:r>
        <w:rPr>
          <w:b w:val="0"/>
          <w:i w:val="0"/>
        </w:rPr>
        <w:t>Nationally and at European level the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reaching Local Action Groups across rural Europe — an audience that rarely encounters media-literacy tools at all. The target is at least four organisations outside the partnership confirming in writing that they use the toolkit.</w:t>
      </w:r>
    </w:p>
    <w:p>
      <w:pPr>
        <w:jc w:val="both"/>
      </w:pPr>
      <w:r>
        <w:rPr>
          <w:b w:val="0"/>
          <w:i w:val="0"/>
        </w:rPr>
        <w:t>We state the limits of this as plainly as the ambitions. Twenty participants will not move a county-level statistic. The contribution is measurable change in twenty young people, documented extension to at least eighty more, and instruments that stay in use in three organisations after the project ends.</w:t>
      </w:r>
    </w:p>
    <w:p>
      <w:pPr>
        <w:spacing w:after="200"/>
      </w:pPr>
      <w:r>
        <w:rPr>
          <w:b w:val="0"/>
          <w:i/>
          <w:color w:val="5A5A5A"/>
          <w:sz w:val="16"/>
        </w:rPr>
        <w:t>≈ 2,200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20</w:t>
            </w:r>
          </w:p>
        </w:tc>
        <w:tc>
          <w:tcPr>
            <w:tcW w:type="dxa" w:w="1134"/>
          </w:tcPr>
          <w:p>
            <w:pPr>
              <w:spacing w:before="40" w:after="40"/>
            </w:pPr>
            <w:r/>
            <w:r>
              <w:rPr>
                <w:b w:val="0"/>
                <w:i w:val="0"/>
                <w:sz w:val="19"/>
              </w:rPr>
              <w:t>26</w:t>
            </w:r>
          </w:p>
        </w:tc>
        <w:tc>
          <w:tcPr>
            <w:tcW w:type="dxa" w:w="1361"/>
          </w:tcPr>
          <w:p>
            <w:pPr>
              <w:spacing w:before="40" w:after="40"/>
            </w:pPr>
            <w:r/>
            <w:r>
              <w:rPr>
                <w:b w:val="0"/>
                <w:i w:val="0"/>
                <w:sz w:val="19"/>
              </w:rPr>
              <w:t>25,921.00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20</w:t>
            </w:r>
          </w:p>
        </w:tc>
        <w:tc>
          <w:tcPr>
            <w:tcW w:type="dxa" w:w="1134"/>
          </w:tcPr>
          <w:p>
            <w:pPr>
              <w:spacing w:before="40" w:after="40"/>
            </w:pPr>
            <w:r/>
            <w:r>
              <w:rPr>
                <w:b/>
                <w:i w:val="0"/>
                <w:sz w:val="19"/>
              </w:rPr>
              <w:t>26</w:t>
            </w:r>
          </w:p>
        </w:tc>
        <w:tc>
          <w:tcPr>
            <w:tcW w:type="dxa" w:w="1361"/>
          </w:tcPr>
          <w:p>
            <w:pPr>
              <w:spacing w:before="40" w:after="40"/>
            </w:pPr>
            <w:r/>
            <w:r>
              <w:rPr>
                <w:b/>
                <w:i w:val="0"/>
                <w:sz w:val="19"/>
              </w:rPr>
              <w:t>25,921.00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rather than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12 of our 20 participants are participants with fewer opportunities, from whom the Programme does not permit fees in any case, a fee would also have to be charged to some participants and not others — inside a group of twenty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995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20</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12</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26</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25,921.00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6</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8</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20</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26</w:t>
            </w:r>
          </w:p>
        </w:tc>
        <w:tc>
          <w:tcPr>
            <w:tcW w:type="dxa" w:w="850"/>
          </w:tcPr>
          <w:p>
            <w:pPr>
              <w:spacing w:before="40" w:after="40"/>
            </w:pPr>
            <w:r/>
            <w:r>
              <w:rPr>
                <w:b/>
                <w:i w:val="0"/>
                <w:sz w:val="17"/>
              </w:rPr>
              <w:t>12</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the accommodation unit in the Napoca Porolissum LAG territory, Apuseni Mountains, Cluj County, Romania [TO CONFIRM].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(8 persons)</w:t>
            </w:r>
          </w:p>
        </w:tc>
        <w:tc>
          <w:tcPr>
            <w:tcW w:type="dxa" w:w="2041"/>
          </w:tcPr>
          <w:p>
            <w:pPr>
              <w:spacing w:before="40" w:after="40"/>
            </w:pPr>
            <w:r/>
            <w:r>
              <w:rPr>
                <w:b w:val="0"/>
                <w:i w:val="0"/>
                <w:sz w:val="19"/>
              </w:rPr>
              <w:t>8 × 417 = 3,336.00</w:t>
            </w:r>
          </w:p>
        </w:tc>
        <w:tc>
          <w:tcPr>
            <w:tcW w:type="dxa" w:w="2154"/>
          </w:tcPr>
          <w:p>
            <w:pPr>
              <w:spacing w:before="40" w:after="40"/>
            </w:pPr>
            <w:r/>
            <w:r>
              <w:rPr>
                <w:b w:val="0"/>
                <w:i w:val="0"/>
                <w:sz w:val="19"/>
              </w:rPr>
              <w:t>8 × 11 × 46 = 4,048.00</w:t>
            </w:r>
          </w:p>
        </w:tc>
        <w:tc>
          <w:tcPr>
            <w:tcW w:type="dxa" w:w="2041"/>
          </w:tcPr>
          <w:p>
            <w:pPr>
              <w:spacing w:before="40" w:after="40"/>
            </w:pPr>
            <w:r/>
            <w:r>
              <w:rPr>
                <w:b w:val="0"/>
                <w:i w:val="0"/>
                <w:sz w:val="19"/>
              </w:rPr>
              <w:t>7,384.00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7,593.00</w:t>
            </w:r>
          </w:p>
        </w:tc>
        <w:tc>
          <w:tcPr>
            <w:tcW w:type="dxa" w:w="2154"/>
          </w:tcPr>
          <w:p>
            <w:pPr>
              <w:spacing w:before="40" w:after="40"/>
            </w:pPr>
            <w:r/>
            <w:r>
              <w:rPr>
                <w:b/>
                <w:i w:val="0"/>
                <w:sz w:val="19"/>
              </w:rPr>
              <w:t>12,328.00</w:t>
            </w:r>
          </w:p>
        </w:tc>
        <w:tc>
          <w:tcPr>
            <w:tcW w:type="dxa" w:w="2041"/>
          </w:tcPr>
          <w:p>
            <w:pPr>
              <w:spacing w:before="40" w:after="40"/>
            </w:pPr>
            <w:r/>
            <w:r>
              <w:rPr>
                <w:b/>
                <w:i w:val="0"/>
                <w:sz w:val="19"/>
              </w:rPr>
              <w:t>19,921.00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20</w:t>
            </w:r>
          </w:p>
        </w:tc>
        <w:tc>
          <w:tcPr>
            <w:tcW w:type="dxa" w:w="2041"/>
          </w:tcPr>
          <w:p>
            <w:pPr>
              <w:spacing w:before="40" w:after="40"/>
            </w:pPr>
            <w:r/>
            <w:r>
              <w:rPr>
                <w:b w:val="0"/>
                <w:i w:val="0"/>
                <w:sz w:val="19"/>
              </w:rPr>
              <w:t>2,500.00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12</w:t>
            </w:r>
          </w:p>
        </w:tc>
        <w:tc>
          <w:tcPr>
            <w:tcW w:type="dxa" w:w="2041"/>
          </w:tcPr>
          <w:p>
            <w:pPr>
              <w:spacing w:before="40" w:after="40"/>
            </w:pPr>
            <w:r/>
            <w:r>
              <w:rPr>
                <w:b w:val="0"/>
                <w:i w:val="0"/>
                <w:sz w:val="19"/>
              </w:rPr>
              <w:t>1,500.00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25,921.00</w:t>
            </w:r>
          </w:p>
        </w:tc>
      </w:tr>
    </w:tbl>
    <w:p>
      <w:pPr>
        <w:spacing w:after="0"/>
      </w:pPr>
    </w:p>
    <w:p>
      <w:pPr>
        <w:spacing w:after="160"/>
      </w:pPr>
      <w:r>
        <w:rPr>
          <w:b w:val="0"/>
          <w:i/>
          <w:color w:val="5A5A5A"/>
          <w:sz w:val="17"/>
        </w:rPr>
        <w:t>The preparatory visit (3,400.00 EUR) sits at project level, not inside the activity, which is why the project total is 29,321.00 and the activity grant 25,921.00.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val="0"/>
          <w:i w:val="0"/>
        </w:rPr>
        <w:t>The Romanian group brings seven young people aged 14–17 and one group leader, drawn from the rural mountain communes of the territory — Săcuieu, Gilău, Huedin, Mărișel, Căpușu Mare, Mărgău, Măguri-Răcătău, Călățele, Beliș, Mănăstireni, Aghireșu and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val="0"/>
          <w:i w:val="0"/>
        </w:rPr>
        <w:t>The Turkish group brings seven young people aged 14–17 and one group leader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and its standing work identifying digital skill gaps among those volunteers is how it knows where to look. [TO CONFIRM: the urban/rural composition, the localities, and GGD’s consultation data.]</w:t>
      </w:r>
    </w:p>
    <w:p>
      <w:pPr>
        <w:jc w:val="both"/>
      </w:pPr>
      <w:r>
        <w:rPr>
          <w:b w:val="0"/>
          <w:i w:val="0"/>
        </w:rPr>
        <w:t>The Greek group brings six young people aged 14–17 and two group leaders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where Greece sits 22nd of 27 on basic digital competences and 80% of students cannot tell a real article from a fake one. The group travels with two accompanying adults because of the length of the journey. [TO CONFIRM: the islands and the departure point.]</w:t>
      </w:r>
    </w:p>
    <w:p>
      <w:pPr>
        <w:jc w:val="both"/>
      </w:pPr>
      <w:r>
        <w:rPr>
          <w:b w:val="0"/>
          <w:i w:val="0"/>
        </w:rPr>
        <w:t>All three partners form their groups on one common recruitment backbone, published simultaneously in month 1 with the same criteria translated into Romanian, Hungarian, Turkish and Greek, aiming for at least 60 applications for the 20 places. Selection is by a commission of at least two people per organisation, on a written form plus a short conversation, with the outcome and the reasons given to every candidate. The criteria are identical in all three countries: age 14–17 at the start date, which is eliminatory; motivation and willingness to run a local initiative afterwards, weighted 30%; first participation in a European mobility or any non-formal activity, weighted 25% with a target of 15 of 20; a situation limiting access to opportunities, declared voluntarily and confidentially, weighted 25% with a target of 12 of 20; and gender and locality balance, weighted 20%. English is not among them, and A2 is accepted, because the programme is built on visual and practical methods, pair work and linguistic support from the group leaders so that language does not become a social filter — a language test at the door would convert the 12.5% who name lack of self-confidence into exclusion.</w:t>
      </w:r>
    </w:p>
    <w:p>
      <w:pPr>
        <w:jc w:val="both"/>
      </w:pPr>
      <w:r>
        <w:rPr>
          <w:b w:val="0"/>
          <w:i w:val="0"/>
        </w:rPr>
        <w:t>All twenty participants are aged 14 to 17 at the start date, and the band is deliberately tight. They share the same need, since the survey evidence behind this project describes exactly this age group, and they are at a similar stage of development, so one register of language and one set of expectations about autonomy works for the whole room instead of two. That also lets us use one coherent set of non-formal methods — visual, practical, game-based, built on small mixed teams and peer teaching — that fits all of them. A band crossing into legal adulthood would put minors and adults in the same accommodation, which is a safeguarding problem before it is a learning one.</w:t>
      </w:r>
    </w:p>
    <w:p>
      <w:pPr>
        <w:jc w:val="both"/>
      </w:pPr>
      <w:r>
        <w:rPr>
          <w:b w:val="0"/>
          <w:i w:val="0"/>
        </w:rPr>
        <w:t>Country balance is held by three near-equal groups, seven from Romania, seven from Türkiye and six from Greece, so that no national group holds a majority of the twenty. The balance is enforced where it matters, in the working teams: the cohort is divided into four mixed teams of five, each containing members of all three national groups, recomposed daily, so every participant works with every nationality repeatedly rather than once. Gender balance is binding at group level rather than an aspiration at project level, with each national group including at least 40% of each gender — three in a group of seven, two in a group of six — and the team of four group leaders itself gender-balanced. Participants who do not identify within that binary are counted by their own declaration and are not required to declare anything, and the activity coordinator checks both rules at selection and at final confirmation.</w:t>
      </w:r>
    </w:p>
    <w:p>
      <w:pPr>
        <w:jc w:val="both"/>
      </w:pPr>
      <w:r>
        <w:rPr>
          <w:b w:val="0"/>
          <w:i w:val="0"/>
        </w:rPr>
        <w:t>Four group leaders accompany the groups, all aged 18 or over, experienced in youth work and in accompanying minors, staying with their groups throughout including at night: one for Romania, one for Türkiye and two for Greece. We propose Livia Golovatic for Romania, M. Talha Serenli for Türkiye, and for Greece Evgenia Kalogeropoulou, a social worker trained in supporting vulnerable groups, with Ioulia Dialeisma as second accompanying adult. [TO CONFIRM with the partners.] Each is responsible for safeguarding, the daily reflection in the group’s own language, attendance, the code of conduct, observing one mixed team on Day 4, and afterwards the group’s local initiative. Four leaders for twenty participants is below the National Call’s ceiling of one per four, and with the two facilitators it gives six adults for twenty minors. All four take the two-day leaders’ briefing in month 4.</w:t>
      </w:r>
    </w:p>
    <w:p>
      <w:pPr>
        <w:spacing w:after="200"/>
      </w:pPr>
      <w:r>
        <w:rPr>
          <w:b w:val="0"/>
          <w:i/>
          <w:color w:val="5A5A5A"/>
          <w:sz w:val="16"/>
        </w:rPr>
        <w:t>≈ 5,962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val="0"/>
          <w:i w:val="0"/>
        </w:rPr>
        <w:t>The subject of this project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val="0"/>
          <w:i w:val="0"/>
        </w:rPr>
        <w:t>In the planning phase, months 1 to 4,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val="0"/>
          <w:i w:val="0"/>
        </w:rPr>
        <w:t>During the mobility, every day has a host team of the day: a mixed team of three participants, one from each country, who open the day, keep the timing, run the energisers and close the day.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val="0"/>
          <w:i w:val="0"/>
        </w:rPr>
        <w:t xml:space="preserve">In the follow-up phase, months 6 to 18,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 as peer trainers in their later activities.</w:t>
      </w:r>
    </w:p>
    <w:p>
      <w:pPr>
        <w:spacing w:after="200"/>
      </w:pPr>
      <w:r>
        <w:rPr>
          <w:b w:val="0"/>
          <w:i/>
          <w:color w:val="5A5A5A"/>
          <w:sz w:val="16"/>
        </w:rPr>
        <w:t>≈ 4,128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will be developed?</w:t>
            </w:r>
          </w:p>
        </w:tc>
      </w:tr>
    </w:tbl>
    <w:p>
      <w:pPr>
        <w:spacing w:after="0"/>
      </w:pPr>
    </w:p>
    <w:p>
      <w:pPr>
        <w:jc w:val="both"/>
      </w:pPr>
      <w:r>
        <w:rPr>
          <w:b w:val="0"/>
          <w:i w:val="0"/>
        </w:rPr>
        <w:t>The learning outcomes are expressed against the eight European key competences for lifelong learning, the framework Youthpass uses, and each is tied to the sessions that build it and to the evidence that documents it. The rule is strict in both directions: no session exists in the programme without an entry here, and no competence is claimed without a session and a piece of evidence behind it.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701"/>
            <w:shd w:val="clear" w:color="auto" w:fill="E8EEF7"/>
          </w:tcPr>
          <w:p>
            <w:pPr>
              <w:spacing w:before="40" w:after="40"/>
            </w:pPr>
            <w:r/>
            <w:r>
              <w:rPr>
                <w:b/>
                <w:i w:val="0"/>
                <w:color w:val="003D82"/>
                <w:sz w:val="17"/>
              </w:rPr>
              <w:t>Key competence</w:t>
            </w:r>
          </w:p>
        </w:tc>
        <w:tc>
          <w:tcPr>
            <w:tcW w:type="dxa" w:w="3742"/>
            <w:shd w:val="clear" w:color="auto" w:fill="E8EEF7"/>
          </w:tcPr>
          <w:p>
            <w:pPr>
              <w:spacing w:before="40" w:after="40"/>
            </w:pPr>
            <w:r/>
            <w:r>
              <w:rPr>
                <w:b/>
                <w:i w:val="0"/>
                <w:color w:val="003D82"/>
                <w:sz w:val="17"/>
              </w:rPr>
              <w:t>What the participant will be able to do</w:t>
            </w:r>
          </w:p>
        </w:tc>
        <w:tc>
          <w:tcPr>
            <w:tcW w:type="dxa" w:w="1701"/>
            <w:shd w:val="clear" w:color="auto" w:fill="E8EEF7"/>
          </w:tcPr>
          <w:p>
            <w:pPr>
              <w:spacing w:before="40" w:after="40"/>
            </w:pPr>
            <w:r/>
            <w:r>
              <w:rPr>
                <w:b/>
                <w:i w:val="0"/>
                <w:color w:val="003D82"/>
                <w:sz w:val="17"/>
              </w:rPr>
              <w:t>Sessions</w:t>
            </w:r>
          </w:p>
        </w:tc>
        <w:tc>
          <w:tcPr>
            <w:tcW w:type="dxa" w:w="2268"/>
            <w:shd w:val="clear" w:color="auto" w:fill="E8EEF7"/>
          </w:tcPr>
          <w:p>
            <w:pPr>
              <w:spacing w:before="40" w:after="40"/>
            </w:pPr>
            <w:r/>
            <w:r>
              <w:rPr>
                <w:b/>
                <w:i w:val="0"/>
                <w:color w:val="003D82"/>
                <w:sz w:val="17"/>
              </w:rPr>
              <w:t>Evidence</w:t>
            </w:r>
          </w:p>
        </w:tc>
      </w:tr>
      <w:tr>
        <w:tc>
          <w:tcPr>
            <w:tcW w:type="dxa" w:w="1701"/>
          </w:tcPr>
          <w:p>
            <w:pPr>
              <w:spacing w:before="40" w:after="40"/>
            </w:pPr>
            <w:r/>
            <w:r>
              <w:rPr>
                <w:b/>
                <w:i w:val="0"/>
                <w:sz w:val="17"/>
              </w:rPr>
              <w:t>KC4 Digital</w:t>
            </w:r>
            <w:r>
              <w:rPr>
                <w:b w:val="0"/>
                <w:i w:val="0"/>
                <w:sz w:val="17"/>
              </w:rPr>
              <w:t xml:space="preserve"> </w:t>
            </w:r>
            <w:r>
              <w:rPr>
                <w:b w:val="0"/>
                <w:i/>
                <w:sz w:val="17"/>
              </w:rPr>
              <w:t>primary</w:t>
            </w:r>
          </w:p>
        </w:tc>
        <w:tc>
          <w:tcPr>
            <w:tcW w:type="dxa" w:w="3742"/>
          </w:tcPr>
          <w:p>
            <w:pPr>
              <w:spacing w:before="40" w:after="40"/>
            </w:pPr>
            <w:r/>
            <w:r>
              <w:rPr>
                <w:b w:val="0"/>
                <w:i w:val="0"/>
                <w:sz w:val="17"/>
              </w:rPr>
              <w:t>Identify the source and the author of an online item; check its date and its original context; run a reverse image search; compare a claim against at least two independent sources; recognise the indicators of AI-generated text, image, audio and video; use AI tools in their own production ethically and with attribution.</w:t>
            </w:r>
          </w:p>
        </w:tc>
        <w:tc>
          <w:tcPr>
            <w:tcW w:type="dxa" w:w="1701"/>
          </w:tcPr>
          <w:p>
            <w:pPr>
              <w:spacing w:before="40" w:after="40"/>
            </w:pPr>
            <w:r/>
            <w:r>
              <w:rPr>
                <w:b w:val="0"/>
                <w:i w:val="0"/>
                <w:sz w:val="17"/>
              </w:rPr>
              <w:t>D1.3, D2.1, D2.2, D3.1, D3.2, D3.3, D4.1, D4.2, D6.1</w:t>
            </w:r>
          </w:p>
        </w:tc>
        <w:tc>
          <w:tcPr>
            <w:tcW w:type="dxa" w:w="2268"/>
          </w:tcPr>
          <w:p>
            <w:pPr>
              <w:spacing w:before="40" w:after="40"/>
            </w:pPr>
            <w:r/>
            <w:r>
              <w:rPr>
                <w:b w:val="0"/>
                <w:i w:val="0"/>
                <w:sz w:val="17"/>
              </w:rPr>
              <w:t>Baseline and final practical test; Day 4 observation grid on four named techniques; the AI-recognition sheet; the four media products.</w:t>
            </w:r>
          </w:p>
        </w:tc>
      </w:tr>
      <w:tr>
        <w:tc>
          <w:tcPr>
            <w:tcW w:type="dxa" w:w="1701"/>
          </w:tcPr>
          <w:p>
            <w:pPr>
              <w:spacing w:before="40" w:after="40"/>
            </w:pPr>
            <w:r/>
            <w:r>
              <w:rPr>
                <w:b/>
                <w:i w:val="0"/>
                <w:sz w:val="17"/>
              </w:rPr>
              <w:t>KC1 Literacy</w:t>
            </w:r>
            <w:r>
              <w:rPr>
                <w:b w:val="0"/>
                <w:i w:val="0"/>
                <w:sz w:val="17"/>
              </w:rPr>
              <w:t xml:space="preserve"> </w:t>
            </w:r>
            <w:r>
              <w:rPr>
                <w:b w:val="0"/>
                <w:i/>
                <w:sz w:val="17"/>
              </w:rPr>
              <w:t>primary</w:t>
            </w:r>
          </w:p>
        </w:tc>
        <w:tc>
          <w:tcPr>
            <w:tcW w:type="dxa" w:w="3742"/>
          </w:tcPr>
          <w:p>
            <w:pPr>
              <w:spacing w:before="40" w:after="40"/>
            </w:pPr>
            <w:r/>
            <w:r>
              <w:rPr>
                <w:b w:val="0"/>
                <w:i w:val="0"/>
                <w:sz w:val="17"/>
              </w:rPr>
              <w:t>Distinguish fact from opinion and from inference in a text; identify emotional framing, cropped context and false authority; construct a documented verdict in writing that another person can follow and check.</w:t>
            </w:r>
          </w:p>
        </w:tc>
        <w:tc>
          <w:tcPr>
            <w:tcW w:type="dxa" w:w="1701"/>
          </w:tcPr>
          <w:p>
            <w:pPr>
              <w:spacing w:before="40" w:after="40"/>
            </w:pPr>
            <w:r/>
            <w:r>
              <w:rPr>
                <w:b w:val="0"/>
                <w:i w:val="0"/>
                <w:sz w:val="17"/>
              </w:rPr>
              <w:t>D2.1, D2.2, D2.3, D4.1, D4.2, D4.3</w:t>
            </w:r>
          </w:p>
        </w:tc>
        <w:tc>
          <w:tcPr>
            <w:tcW w:type="dxa" w:w="2268"/>
          </w:tcPr>
          <w:p>
            <w:pPr>
              <w:spacing w:before="40" w:after="40"/>
            </w:pPr>
            <w:r/>
            <w:r>
              <w:rPr>
                <w:b w:val="0"/>
                <w:i w:val="0"/>
                <w:sz w:val="17"/>
              </w:rPr>
              <w:t>The manipulation-techniques grid produced by the participants; four written verdicts with their sources.</w:t>
            </w:r>
          </w:p>
        </w:tc>
      </w:tr>
      <w:tr>
        <w:tc>
          <w:tcPr>
            <w:tcW w:type="dxa" w:w="1701"/>
          </w:tcPr>
          <w:p>
            <w:pPr>
              <w:spacing w:before="40" w:after="40"/>
            </w:pPr>
            <w:r/>
            <w:r>
              <w:rPr>
                <w:b/>
                <w:i w:val="0"/>
                <w:sz w:val="17"/>
              </w:rPr>
              <w:t>KC6 Citizenship</w:t>
            </w:r>
            <w:r>
              <w:rPr>
                <w:b w:val="0"/>
                <w:i w:val="0"/>
                <w:sz w:val="17"/>
              </w:rPr>
              <w:t xml:space="preserve"> </w:t>
            </w:r>
            <w:r>
              <w:rPr>
                <w:b w:val="0"/>
                <w:i/>
                <w:sz w:val="17"/>
              </w:rPr>
              <w:t>primary</w:t>
            </w:r>
          </w:p>
        </w:tc>
        <w:tc>
          <w:tcPr>
            <w:tcW w:type="dxa" w:w="3742"/>
          </w:tcPr>
          <w:p>
            <w:pPr>
              <w:spacing w:before="40" w:after="40"/>
            </w:pPr>
            <w:r/>
            <w:r>
              <w:rPr>
                <w:b w:val="0"/>
                <w:i w:val="0"/>
                <w:sz w:val="17"/>
              </w:rPr>
              <w:t>Explain why verification is a precondition of democratic participation; argue a position with evidence and accept being refuted by evidence; take part in dialogue with community members and local institutions; design and run an activity that serves their own community.</w:t>
            </w:r>
          </w:p>
        </w:tc>
        <w:tc>
          <w:tcPr>
            <w:tcW w:type="dxa" w:w="1701"/>
          </w:tcPr>
          <w:p>
            <w:pPr>
              <w:spacing w:before="40" w:after="40"/>
            </w:pPr>
            <w:r/>
            <w:r>
              <w:rPr>
                <w:b w:val="0"/>
                <w:i w:val="0"/>
                <w:sz w:val="17"/>
              </w:rPr>
              <w:t>D1.2, D2.3, D5.1, D5.2, D6.3, D7.1</w:t>
            </w:r>
          </w:p>
        </w:tc>
        <w:tc>
          <w:tcPr>
            <w:tcW w:type="dxa" w:w="2268"/>
          </w:tcPr>
          <w:p>
            <w:pPr>
              <w:spacing w:before="40" w:after="40"/>
            </w:pPr>
            <w:r/>
            <w:r>
              <w:rPr>
                <w:b w:val="0"/>
                <w:i w:val="0"/>
                <w:sz w:val="17"/>
              </w:rPr>
              <w:t>The group agreement; the Day 5 record of local rumours; the four local initiative plans and the initiatives themselves.</w:t>
            </w:r>
          </w:p>
        </w:tc>
      </w:tr>
      <w:tr>
        <w:tc>
          <w:tcPr>
            <w:tcW w:type="dxa" w:w="1701"/>
          </w:tcPr>
          <w:p>
            <w:pPr>
              <w:spacing w:before="40" w:after="40"/>
            </w:pPr>
            <w:r/>
            <w:r>
              <w:rPr>
                <w:b/>
                <w:i w:val="0"/>
                <w:sz w:val="17"/>
              </w:rPr>
              <w:t>KC5 Personal, social, learning to learn</w:t>
            </w:r>
            <w:r>
              <w:rPr>
                <w:b w:val="0"/>
                <w:i w:val="0"/>
                <w:sz w:val="17"/>
              </w:rPr>
              <w:t xml:space="preserve"> </w:t>
            </w:r>
            <w:r>
              <w:rPr>
                <w:b w:val="0"/>
                <w:i/>
                <w:sz w:val="17"/>
              </w:rPr>
              <w:t>primary</w:t>
            </w:r>
          </w:p>
        </w:tc>
        <w:tc>
          <w:tcPr>
            <w:tcW w:type="dxa" w:w="3742"/>
          </w:tcPr>
          <w:p>
            <w:pPr>
              <w:spacing w:before="40" w:after="40"/>
            </w:pPr>
            <w:r/>
            <w:r>
              <w:rPr>
                <w:b w:val="0"/>
                <w:i w:val="0"/>
                <w:sz w:val="17"/>
              </w:rPr>
              <w:t>Assess their own media habits and name their own weak points; recognise that they were wrong about a claim and say so; work in a mixed international team; set a learning target and evaluate their progress against it.</w:t>
            </w:r>
          </w:p>
        </w:tc>
        <w:tc>
          <w:tcPr>
            <w:tcW w:type="dxa" w:w="1701"/>
          </w:tcPr>
          <w:p>
            <w:pPr>
              <w:spacing w:before="40" w:after="40"/>
            </w:pPr>
            <w:r/>
            <w:r>
              <w:rPr>
                <w:b w:val="0"/>
                <w:i w:val="0"/>
                <w:sz w:val="17"/>
              </w:rPr>
              <w:t>D1.3, D2.2, every daily reflection group, D7.2</w:t>
            </w:r>
          </w:p>
        </w:tc>
        <w:tc>
          <w:tcPr>
            <w:tcW w:type="dxa" w:w="2268"/>
          </w:tcPr>
          <w:p>
            <w:pPr>
              <w:spacing w:before="40" w:after="40"/>
            </w:pPr>
            <w:r/>
            <w:r>
              <w:rPr>
                <w:b w:val="0"/>
                <w:i w:val="0"/>
                <w:sz w:val="17"/>
              </w:rPr>
              <w:t>“My Digital Map” from Day 1 compared with the Day 7 reflection; the individual learning diary; Youthpass.</w:t>
            </w:r>
          </w:p>
        </w:tc>
      </w:tr>
      <w:tr>
        <w:tc>
          <w:tcPr>
            <w:tcW w:type="dxa" w:w="1701"/>
          </w:tcPr>
          <w:p>
            <w:pPr>
              <w:spacing w:before="40" w:after="40"/>
            </w:pPr>
            <w:r/>
            <w:r>
              <w:rPr>
                <w:b/>
                <w:i w:val="0"/>
                <w:sz w:val="17"/>
              </w:rPr>
              <w:t>KC2 Multilingual</w:t>
            </w:r>
          </w:p>
        </w:tc>
        <w:tc>
          <w:tcPr>
            <w:tcW w:type="dxa" w:w="3742"/>
          </w:tcPr>
          <w:p>
            <w:pPr>
              <w:spacing w:before="40" w:after="40"/>
            </w:pPr>
            <w:r/>
            <w:r>
              <w:rPr>
                <w:b w:val="0"/>
                <w:i w:val="0"/>
                <w:sz w:val="17"/>
              </w:rPr>
              <w:t>Work and produce a shared result in English at a functional level; support and be supported across languages; understand that information circulates differently inside a minority language.</w:t>
            </w:r>
          </w:p>
        </w:tc>
        <w:tc>
          <w:tcPr>
            <w:tcW w:type="dxa" w:w="1701"/>
          </w:tcPr>
          <w:p>
            <w:pPr>
              <w:spacing w:before="40" w:after="40"/>
            </w:pPr>
            <w:r/>
            <w:r>
              <w:rPr>
                <w:b w:val="0"/>
                <w:i w:val="0"/>
                <w:sz w:val="17"/>
              </w:rPr>
              <w:t>All mixed-team sessions; D2.3, D5.3</w:t>
            </w:r>
          </w:p>
        </w:tc>
        <w:tc>
          <w:tcPr>
            <w:tcW w:type="dxa" w:w="2268"/>
          </w:tcPr>
          <w:p>
            <w:pPr>
              <w:spacing w:before="40" w:after="40"/>
            </w:pPr>
            <w:r/>
            <w:r>
              <w:rPr>
                <w:b w:val="0"/>
                <w:i w:val="0"/>
                <w:sz w:val="17"/>
              </w:rPr>
              <w:t>The manipulation grid produced in four languages; the media products in English plus a local language.</w:t>
            </w:r>
          </w:p>
        </w:tc>
      </w:tr>
      <w:tr>
        <w:tc>
          <w:tcPr>
            <w:tcW w:type="dxa" w:w="1701"/>
          </w:tcPr>
          <w:p>
            <w:pPr>
              <w:spacing w:before="40" w:after="40"/>
            </w:pPr>
            <w:r/>
            <w:r>
              <w:rPr>
                <w:b/>
                <w:i w:val="0"/>
                <w:sz w:val="17"/>
              </w:rPr>
              <w:t>KC8 Cultural awareness and expression</w:t>
            </w:r>
          </w:p>
        </w:tc>
        <w:tc>
          <w:tcPr>
            <w:tcW w:type="dxa" w:w="3742"/>
          </w:tcPr>
          <w:p>
            <w:pPr>
              <w:spacing w:before="40" w:after="40"/>
            </w:pPr>
            <w:r/>
            <w:r>
              <w:rPr>
                <w:b w:val="0"/>
                <w:i w:val="0"/>
                <w:sz w:val="17"/>
              </w:rPr>
              <w:t>Recognise how stereotypes about their own and other communities are built and amplified; present a message visually and narratively; understand the host community from inside it.</w:t>
            </w:r>
          </w:p>
        </w:tc>
        <w:tc>
          <w:tcPr>
            <w:tcW w:type="dxa" w:w="1701"/>
          </w:tcPr>
          <w:p>
            <w:pPr>
              <w:spacing w:before="40" w:after="40"/>
            </w:pPr>
            <w:r/>
            <w:r>
              <w:rPr>
                <w:b w:val="0"/>
                <w:i w:val="0"/>
                <w:sz w:val="17"/>
              </w:rPr>
              <w:t>D2.2, D5.2, D5.3, D6.1, D6.2</w:t>
            </w:r>
          </w:p>
        </w:tc>
        <w:tc>
          <w:tcPr>
            <w:tcW w:type="dxa" w:w="2268"/>
          </w:tcPr>
          <w:p>
            <w:pPr>
              <w:spacing w:before="40" w:after="40"/>
            </w:pPr>
            <w:r/>
            <w:r>
              <w:rPr>
                <w:b w:val="0"/>
                <w:i w:val="0"/>
                <w:sz w:val="17"/>
              </w:rPr>
              <w:t>The stereotype analysis in mixed teams; the intercultural evening; the four media products.</w:t>
            </w:r>
          </w:p>
        </w:tc>
      </w:tr>
      <w:tr>
        <w:tc>
          <w:tcPr>
            <w:tcW w:type="dxa" w:w="1701"/>
          </w:tcPr>
          <w:p>
            <w:pPr>
              <w:spacing w:before="40" w:after="40"/>
            </w:pPr>
            <w:r/>
            <w:r>
              <w:rPr>
                <w:b/>
                <w:i w:val="0"/>
                <w:sz w:val="17"/>
              </w:rPr>
              <w:t>KC7 Entrepreneurship</w:t>
            </w:r>
          </w:p>
        </w:tc>
        <w:tc>
          <w:tcPr>
            <w:tcW w:type="dxa" w:w="3742"/>
          </w:tcPr>
          <w:p>
            <w:pPr>
              <w:spacing w:before="40" w:after="40"/>
            </w:pPr>
            <w:r/>
            <w:r>
              <w:rPr>
                <w:b w:val="0"/>
                <w:i w:val="0"/>
                <w:sz w:val="17"/>
              </w:rPr>
              <w:t>Turn an idea into a plan with a date, a venue, an audience, partners and named responsibilities; carry it out and report on it.</w:t>
            </w:r>
          </w:p>
        </w:tc>
        <w:tc>
          <w:tcPr>
            <w:tcW w:type="dxa" w:w="1701"/>
          </w:tcPr>
          <w:p>
            <w:pPr>
              <w:spacing w:before="40" w:after="40"/>
            </w:pPr>
            <w:r/>
            <w:r>
              <w:rPr>
                <w:b w:val="0"/>
                <w:i w:val="0"/>
                <w:sz w:val="17"/>
              </w:rPr>
              <w:t>D6.3 and the four local initiatives, months 6–15</w:t>
            </w:r>
          </w:p>
        </w:tc>
        <w:tc>
          <w:tcPr>
            <w:tcW w:type="dxa" w:w="2268"/>
          </w:tcPr>
          <w:p>
            <w:pPr>
              <w:spacing w:before="40" w:after="40"/>
            </w:pPr>
            <w:r/>
            <w:r>
              <w:rPr>
                <w:b w:val="0"/>
                <w:i w:val="0"/>
                <w:sz w:val="17"/>
              </w:rPr>
              <w:t>The four initiative plans with owners and deadlines; the reports on the initiatives held.</w:t>
            </w:r>
          </w:p>
        </w:tc>
      </w:tr>
      <w:tr>
        <w:tc>
          <w:tcPr>
            <w:tcW w:type="dxa" w:w="1701"/>
          </w:tcPr>
          <w:p>
            <w:pPr>
              <w:spacing w:before="40" w:after="40"/>
            </w:pPr>
            <w:r/>
            <w:r>
              <w:rPr>
                <w:b/>
                <w:i w:val="0"/>
                <w:sz w:val="17"/>
              </w:rPr>
              <w:t>KC3 Mathematical, science and technology</w:t>
            </w:r>
            <w:r>
              <w:rPr>
                <w:b w:val="0"/>
                <w:i w:val="0"/>
                <w:sz w:val="17"/>
              </w:rPr>
              <w:t xml:space="preserve"> </w:t>
            </w:r>
            <w:r>
              <w:rPr>
                <w:b w:val="0"/>
                <w:i/>
                <w:sz w:val="17"/>
              </w:rPr>
              <w:t>secondary</w:t>
            </w:r>
          </w:p>
        </w:tc>
        <w:tc>
          <w:tcPr>
            <w:tcW w:type="dxa" w:w="3742"/>
          </w:tcPr>
          <w:p>
            <w:pPr>
              <w:spacing w:before="40" w:after="40"/>
            </w:pPr>
            <w:r/>
            <w:r>
              <w:rPr>
                <w:b w:val="0"/>
                <w:i w:val="0"/>
                <w:sz w:val="17"/>
              </w:rPr>
              <w:t>Read a statistic critically: check the population measured, the year, the sample and what the figure does not say; recognise a graph designed to mislead.</w:t>
            </w:r>
          </w:p>
        </w:tc>
        <w:tc>
          <w:tcPr>
            <w:tcW w:type="dxa" w:w="1701"/>
          </w:tcPr>
          <w:p>
            <w:pPr>
              <w:spacing w:before="40" w:after="40"/>
            </w:pPr>
            <w:r/>
            <w:r>
              <w:rPr>
                <w:b w:val="0"/>
                <w:i w:val="0"/>
                <w:sz w:val="17"/>
              </w:rPr>
              <w:t>D2.1, D4.1</w:t>
            </w:r>
          </w:p>
        </w:tc>
        <w:tc>
          <w:tcPr>
            <w:tcW w:type="dxa" w:w="2268"/>
          </w:tcPr>
          <w:p>
            <w:pPr>
              <w:spacing w:before="40" w:after="40"/>
            </w:pPr>
            <w:r/>
            <w:r>
              <w:rPr>
                <w:b w:val="0"/>
                <w:i w:val="0"/>
                <w:sz w:val="17"/>
              </w:rPr>
              <w:t>The statistics exercise inside D2.1; the verdicts, where numerical claims appear.</w:t>
            </w:r>
          </w:p>
        </w:tc>
      </w:tr>
    </w:tbl>
    <w:p>
      <w:pPr>
        <w:spacing w:after="0"/>
      </w:pPr>
    </w:p>
    <w:p>
      <w:pPr>
        <w:jc w:val="both"/>
      </w:pPr>
      <w:r>
        <w:rPr>
          <w:b w:val="0"/>
          <w:i w:val="0"/>
        </w:rPr>
        <w:t>We are careful about what we claim: seven days do not produce expert fact-checkers. What they produce is a reflex — the pause before sharing — and four techniques the participant can actually perform, which is what objective O2 measures and what the observation grid records.</w:t>
      </w:r>
    </w:p>
    <w:p>
      <w:pPr>
        <w:spacing w:after="200"/>
      </w:pPr>
      <w:r>
        <w:rPr>
          <w:b w:val="0"/>
          <w:i/>
          <w:color w:val="5A5A5A"/>
          <w:sz w:val="16"/>
        </w:rPr>
        <w:t>≈ 3,781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non-formal learning methods and the daily programme.</w:t>
            </w:r>
          </w:p>
        </w:tc>
      </w:tr>
    </w:tbl>
    <w:p>
      <w:pPr>
        <w:spacing w:after="0"/>
      </w:pPr>
    </w:p>
    <w:p>
      <w:pPr>
        <w:jc w:val="both"/>
      </w:pPr>
      <w:r>
        <w:rPr>
          <w:b w:val="0"/>
          <w:i w:val="0"/>
        </w:rPr>
        <w:t>The activity is hosted in an accommodation unit inside the Napoca Porolissum territory, in the Apuseni Mountains, Cluj County, rather than in a neutral host city: 58.5% of the young people we surveyed asked for activities in or near their own locality, and the host community is part of the programme on Day 5. It needs 30 places, a plenary room, four small-team spaces, stable internet and accessibility. [TO CONFIRM: the unit, with a written offer.]</w:t>
      </w:r>
    </w:p>
    <w:p>
      <w:pPr>
        <w:jc w:val="both"/>
      </w:pPr>
      <w:r>
        <w:rPr>
          <w:b w:val="0"/>
          <w:i w:val="0"/>
        </w:rPr>
        <w:t>Among the non-formal learning methods, learning through controlled error is the central one: participants receive the false material, commit to a judgement, and only then learn the verdict — the surprise is the instrument that works on overconfidence, used on Day 2 before any teaching. Around it: mixed teams recomposed daily; simulation and role play (the verification newsroom D4.1, the information tribunal D2.3, the escape room D3.3); structured debate under the rule that every claim must be evidenced, facilitators included; peer teaching (D3.2); media production as applied learning on Day 6; daily reflection in the national group in the participant’s own language, then in plenary, with a learning diary, and what comes out of it visibly changes the next day (D1.5, D2.4, D3.5, D4.4, D6.4); and outdoor activities in the territory. There are no lectures: every session produces an output or a decision taken by the participants themselves.</w:t>
      </w:r>
    </w:p>
    <w:p>
      <w:pPr>
        <w:jc w:val="both"/>
      </w:pPr>
      <w:r>
        <w:rPr>
          <w:b w:val="0"/>
          <w:i w:val="0"/>
        </w:rPr>
        <w:t>The daily programme runs as follows, with 8 and 16 August as travel days. Day 0 is arrival, accommodation and the guided safety tour with an evacuation drill (D0.1).</w:t>
      </w:r>
    </w:p>
    <w:p>
      <w:pPr>
        <w:jc w:val="both"/>
      </w:pPr>
      <w:r>
        <w:rPr>
          <w:b/>
          <w:i w:val="0"/>
        </w:rPr>
        <w:t>Day 1 — who we are and what we consume.</w:t>
      </w:r>
      <w:r>
        <w:rPr>
          <w:b w:val="0"/>
          <w:i w:val="0"/>
        </w:rPr>
        <w:t xml:space="preserve"> O1, O2. The group forms itself and looks at its own habits before anyone teaches: mixed-team formation (D1.1), the group agreement the participants negotiate themselves, with non-discrimination and respect for all languages present as non-negotiable clauses (D1.2), “My Digital Map”, in which each maps one ordinary day of their own media diet (D1.3), and the safety, safeguarding and Youthpass briefing (D1.4). Outputs: four mixed teams of five, each with members of all three national groups; a signed group agreement; 20 digital maps kept for Day 7. Claudiu Iancu and Marilena Georgescu with Facilitator 1.</w:t>
      </w:r>
    </w:p>
    <w:p>
      <w:pPr>
        <w:jc w:val="both"/>
      </w:pPr>
      <w:r>
        <w:rPr>
          <w:b/>
          <w:i w:val="0"/>
        </w:rPr>
        <w:t>Day 2 — Spot the Fake.</w:t>
      </w:r>
      <w:r>
        <w:rPr>
          <w:b w:val="0"/>
          <w:i w:val="0"/>
        </w:rPr>
        <w:t xml:space="preserve"> O1, O2. The controlled-error day: teams commit to a verdict on a mixed set of real and false items, including two misleading statistics and a manipulated graph, before the answer key is revealed (D2.1); then the mechanics of manipulation — emotional headlines, cropped context, false authority, numbers out of context — worked on the real cases their own communities brought, including content carrying ethnic, gender and migration stereotypes (D2.2); and a debate on where opinion ends and falsehood begins (D2.3). Output: the manipulation grid in four languages. Claudiu Iancu with Facilitators 1 and 2; KEA leads the strand on information in small island communities.</w:t>
      </w:r>
    </w:p>
    <w:p>
      <w:pPr>
        <w:jc w:val="both"/>
      </w:pPr>
      <w:r>
        <w:rPr>
          <w:b/>
          <w:i w:val="0"/>
        </w:rPr>
        <w:t>Day 3 — AI or human?</w:t>
      </w:r>
      <w:r>
        <w:rPr>
          <w:b w:val="0"/>
          <w:i w:val="0"/>
        </w:rPr>
        <w:t xml:space="preserve"> O1, O2. Participants generate AI content themselves and try to fool each other, then write their own recognition sheet (D3.1); four teams each test a free verification tool and teach it to the others (D3.2); the verification route is drilled as an escape room until automatic (D3.3); the group writes the AI-use rule it will apply on Day 6 (D3.4). Outputs: the AI-recognition sheet, an annotated tool list with one national verification resource per partner country, the group’s AI-use rule. Tahsin Altay and the GGD facilitator, with Claudiu Iancu and Livia Golovatic.</w:t>
      </w:r>
    </w:p>
    <w:p>
      <w:pPr>
        <w:jc w:val="both"/>
      </w:pPr>
      <w:r>
        <w:rPr>
          <w:b/>
          <w:i w:val="0"/>
        </w:rPr>
        <w:t>Day 4 — fact-checkers for a day. The assessed day.</w:t>
      </w:r>
      <w:r>
        <w:rPr>
          <w:b w:val="0"/>
          <w:i w:val="0"/>
        </w:rPr>
        <w:t xml:space="preserve"> O2. A three-hour verification newsroom in which mixed teams take real viral claims through the full route to a documented verdict, facilitators intervening only when asked (D4.1). This is where the observation grid for O2 is applied: each of the four group leaders observes one mixed team, Facilitators 1 and 2 independently double-score five participants each — half the cohort scored twice — and the Learning Programme Coordinator moderates without scoring. Then cross-examination of each verdict (D4.2) and a collective analysis of the day’s errors, the facilitators’ included (D4.3). Outputs: four documented verdicts with sources, and per-participant data on all four techniques.</w:t>
      </w:r>
    </w:p>
    <w:p>
      <w:pPr>
        <w:jc w:val="both"/>
      </w:pPr>
      <w:r>
        <w:rPr>
          <w:b/>
          <w:i w:val="0"/>
        </w:rPr>
        <w:t>Day 5 — community and intercultural day.</w:t>
      </w:r>
      <w:r>
        <w:rPr>
          <w:b w:val="0"/>
          <w:i w:val="0"/>
        </w:rPr>
        <w:t xml:space="preserve"> O3. A visit to a village of the territory (D5.1) and a facilitated dialogue with residents and municipal representatives on the rumours circulating there and who gets hurt (D5.2) — that record becomes the working material for Day 6. The intercultural evening closes the day (D5.3). Method led by KEA’s social worker and counsellor, local relationship by Livia Golovatic.</w:t>
      </w:r>
    </w:p>
    <w:p>
      <w:pPr>
        <w:jc w:val="both"/>
      </w:pPr>
      <w:r>
        <w:rPr>
          <w:b/>
          <w:i w:val="0"/>
        </w:rPr>
        <w:t>Day 6 — Make It, Don’t Fake It.</w:t>
      </w:r>
      <w:r>
        <w:rPr>
          <w:b w:val="0"/>
          <w:i w:val="0"/>
        </w:rPr>
        <w:t xml:space="preserve"> O3. Led by GGD: how a short video or infographic is built to be clear and honest (D6.1), then production, each team debunking a Day 5 myth under the AI-use rule the group wrote on Day 3 (D6.2). In parallel the national groups plan their local initiatives on a common template supplied by KEA — date, venue, audience, partner, responsibilities, indicator (D6.3). Outputs: four media products in English plus a local language, four initiative plans with owners and deadlines.</w:t>
      </w:r>
    </w:p>
    <w:p>
      <w:pPr>
        <w:jc w:val="both"/>
      </w:pPr>
      <w:r>
        <w:rPr>
          <w:b/>
          <w:i w:val="0"/>
        </w:rPr>
        <w:t>Day 7 — presentation, evaluation, Youthpass.</w:t>
      </w:r>
      <w:r>
        <w:rPr>
          <w:b w:val="0"/>
          <w:i w:val="0"/>
        </w:rPr>
        <w:t xml:space="preserve"> O1, O2, O3. A public presentation by the participants to guests from the community, the municipalities and the press (D7.1); the Youthpass session, where each participant re-reads their Day 1 digital map against their learning diary and names, with evidence, what changed (D7.2); a participatory evaluation (D7.3); and the written, public commitments to the four local initiatives (D7.4). Outputs: 20 Youthpass certificates plus 4 for the group leaders, and four signed commitments.</w:t>
      </w:r>
    </w:p>
    <w:p>
      <w:pPr>
        <w:jc w:val="both"/>
      </w:pPr>
      <w:r>
        <w:rPr>
          <w:b w:val="0"/>
          <w:i w:val="0"/>
        </w:rPr>
        <w:t>The full programme is annexed as the project timetable, where every session carries five attributes: the objective it serves, the non-formal method, the key competences it builds, the output it produces and the person responsible. The session codes above match the competence matrix and the timetable exactly.</w:t>
      </w:r>
    </w:p>
    <w:p>
      <w:pPr>
        <w:spacing w:after="200"/>
      </w:pPr>
      <w:r>
        <w:rPr>
          <w:b w:val="0"/>
          <w:i/>
          <w:color w:val="5A5A5A"/>
          <w:sz w:val="16"/>
        </w:rPr>
        <w:t>≈ 5,995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val="0"/>
          <w:i w:val="0"/>
        </w:rPr>
        <w:t>Before the exchange, the groups work together in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val="0"/>
          <w:i w:val="0"/>
        </w:rPr>
        <w:t>During the exchange, cooperation is built into the structure of each day: mixed teams recomposed daily, the host team of the day, the reflection cycle running from the national group into the plenary, and a visible feedback loop, where changes requested one evening appear in the next day’s programme.</w:t>
      </w:r>
    </w:p>
    <w:p>
      <w:pPr>
        <w:jc w:val="both"/>
      </w:pPr>
      <w:r>
        <w:rPr>
          <w:b w:val="0"/>
          <w:i w:val="0"/>
        </w:rPr>
        <w:t>After the exchange,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1,700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val="0"/>
          <w:i w:val="0"/>
        </w:rPr>
        <w:t>Preparation runs over four months rather than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jc w:val="both"/>
      </w:pPr>
      <w:r>
        <w:rPr>
          <w:b w:val="0"/>
          <w:i w:val="0"/>
        </w:rPr>
        <w:t>It begins in month 2 with the baseline, when all 20 participants take the fifteen-item practical verification test before any learning activity, together with a short questionnaire on media habits. That establishes the starting value for the first objective and tells the facilitators what the group actually cannot do, which is not always what they say they cannot do. Four joint online sessions of 90 minutes follow in months 3 and 4, held in mixed national teams: meeting each other and drafting the group agreement, choosing the local cases to be analysed, distributing roles and preparing the intercultural evening, and finally safety, digital rules and practical arrangements.</w:t>
      </w:r>
    </w:p>
    <w:p>
      <w:pPr>
        <w:jc w:val="both"/>
      </w:pPr>
      <w:r>
        <w:rPr>
          <w:b w:val="0"/>
          <w:i w:val="0"/>
        </w:rPr>
        <w:t>Linguistic preparation produces a “detective’s glossary” of about 60 working terms in four languages — English, Romanian with Hungarian equivalents, Turkish and Greek — built with the participants rather than handed to them, plus two light conversation sessions inside the online meetings. The aim is functional confidence rather than language teaching, since A2 is enough and the programme is built so that it is. Interculturally, each group prepares a short presentation of its own community for the intercultural evening, including its language, and group leaders run a session on expectations and stereotypes before departure, deliberately, since the project itself works on stereotypes.</w:t>
      </w:r>
    </w:p>
    <w:p>
      <w:pPr>
        <w:jc w:val="both"/>
      </w:pPr>
      <w:r>
        <w:rPr>
          <w:b w:val="0"/>
          <w:i w:val="0"/>
        </w:rPr>
        <w:t>On risk prevention and safeguarding, each participant and each parent receives a participant pack containing the programme, house rules, code of conduct, contact chain, emergency numbers, the safeguarding focal point’s name and direct contact, and the media and consent rules. An online meeting is held with the parents in each country and in its own language, where questions are answered live. Alongside this run the practical arrangements: parental consents, travel and medical insurance, medical information sheets, dietary and accessibility requirements and travel bookings, with the visa procedure for the Turkish group starting in month 3. The group leaders take a two-day online briefing in month 4 on safeguarding, the escalation chain, facilitating reflection and the calibrated use of the observation grid across four different observers. Where a participant needs support beyond the standard arrangements, it is identified here, in the preparation phase, costed on a separate line and justified by what it makes possible, rather than requested as a lump sum and explained afterwards.</w:t>
      </w:r>
    </w:p>
    <w:p>
      <w:pPr>
        <w:jc w:val="both"/>
      </w:pPr>
      <w:r>
        <w:rPr>
          <w:b w:val="0"/>
          <w:i w:val="0"/>
        </w:rPr>
        <w:t>During the exchange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and she is deliberately not part of the facilitation team so that a concern about a facilitator can be raised at all. A buddy system pairs participants across countries for language and social support, and any participant may leave a session without giving a reason, a rule stated on Day 1 and repeated before the sessions that work with distressing content.</w:t>
      </w:r>
    </w:p>
    <w:p>
      <w:pPr>
        <w:jc w:val="both"/>
      </w:pPr>
      <w:r>
        <w:rPr>
          <w:b w:val="0"/>
          <w:i w:val="0"/>
        </w:rPr>
        <w:t>Support does not stop when they get off the bus. The cohort communication group stays open for 18 months, and each participant leaves with a written commitment and a role in a local initiative that the group leader supports them through: the initiative is theirs to run, but they are not left alone to run it. A joint online meeting in month 10 lets the groups that have already delivered pass on what they learned, a follow-up questionnaire in month 12 and the final test in month 18 close the loop, and the participatory evaluation session in month 17 brings the twenty back into the project as evaluators rather than beneficiaries.</w:t>
      </w:r>
    </w:p>
    <w:p>
      <w:pPr>
        <w:spacing w:after="200"/>
      </w:pPr>
      <w:r>
        <w:rPr>
          <w:b w:val="0"/>
          <w:i/>
          <w:color w:val="5A5A5A"/>
          <w:sz w:val="16"/>
        </w:rPr>
        <w:t>≈ 4,230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 participants are minors, so the measures below are specific rather than reassuring,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val="0"/>
          <w:i w:val="0"/>
        </w:rPr>
        <w:t>The venue is assessed before it is contracted. A written risk assessment covers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The logistics officer then verifies all of it on site during the preparatory visit in month 3, together with representatives of the sending organisations, and the venue is not confirmed until it has been seen. On arrival an evacuation drill is held on Day 0 with the assembly point shown to every participant, and the guided safety tour is a scheduled session rather than an informality. Rooms are allocated by gender and by age with minors accommodated only with minors, the group leaders sleep on the same floors as their groups, and a night-duty rota keeps at least one adult awake and reachable at all times. Activity spaces are checked daily, a first-aid kit sits in the plenary room and another travels on every off-site activity, and at least one member of the team holds a valid first-aid qualification. [TO CONFIRM: who, and the certificate’s validity date.] For the off-site activity on Day 5 transport is by a licensed carrier, with a written route and timing, a headcount at every boarding and one adult per group at all times.</w:t>
      </w:r>
    </w:p>
    <w:p>
      <w:pPr>
        <w:jc w:val="both"/>
      </w:pPr>
      <w:r>
        <w:rPr>
          <w:b w:val="0"/>
          <w:i w:val="0"/>
        </w:rPr>
        <w:t>Protection of the participants rests on a child protection policy of the coordinating organisation, signed by every adult involved and presented to the participants on Day 1. [TO CONFIRM: the policy must be adopted before submission.] Marilena Georgescu is the designated safeguarding focal point, sits outside the facilitation team, is introduced in person on Day 1, and her contact details go to participants and parents before departure, with a named counterpart in each partner organisation. Written parental consents for participation, travel, emergency medical care and use of images are obtained before departure and notarised where national law requires it, as is expected for the Turkish group. The code of conduct is negotiated with the participants themselves on Day 1 rather than imposed, and includes non-discrimination, respect for all languages present and explicit rules on harassment and bullying. Insurance for health, accident and civil liability covers all 26 people for the whole travel period and is arranged and verified centrally by the coordinator rather than left to each sending organisation. An emergency protocol provides a 24/7 contact chain, the full list of parents’ contacts held by the coordinator and by each group leader, a designated reference medical facility identified during the preparatory visit, and an interpreter reachable for the Turkish and Greek groups. On data and digital protection, consent for photographs and video is explicit, no identifiable image of a minor is published without it, no personal data of third parties appears in the material produced, every piece of content goes through a two-step review with the safeguarding focal point approving, and all data is processed under the GDPR, stored in restricted folders and anonymised in the supporting file.</w:t>
      </w:r>
    </w:p>
    <w:p>
      <w:pPr>
        <w:jc w:val="both"/>
      </w:pPr>
      <w:r>
        <w:rPr>
          <w:b w:val="0"/>
          <w:i w:val="0"/>
        </w:rPr>
        <w:t>Working with real disinformation also exposes participants to violent, discriminatory or distressing material about war, health and migration, so a sensitive-content protocol applies. All working material is pre-screened by the facilitators and explicit content is excluded, every analysis session ends with a short decompression sequence,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4,404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jc w:val="both"/>
      </w:pPr>
      <w:r>
        <w:rPr>
          <w:b w:val="0"/>
          <w:i w:val="0"/>
        </w:rPr>
        <w:t>Between months 6 and 15 the participants run four local initiatives: two in the Romanian territory, in different communes, one in Türkiye and one in the South Aegean. The Romanian group has seven participants drawn from twelve localities and a coordinator with fourteen partner municipalities, so a single event in one commune would reach the wrong young people, and two smaller initiatives in different communes is both more faithful to the territory and further into it. Each initiative reaches at least 20 young people and is hosted in a youth centre, a library, a community centre, the partner organisation’s own space or another accessible public place. The participants design and lead them while the group leader supports, and each one uses the “Digital Detectives” toolkit, screens the four media products made during the mobility, and ends with the ten-minute exercise that measures whether the young people reached can apply two simple verification methods. Two initiatives are due by month 10 and two by month 15, so that the later ones benefit from the earlier ones.</w:t>
      </w:r>
    </w:p>
    <w:p>
      <w:pPr>
        <w:jc w:val="both"/>
      </w:pPr>
      <w:r>
        <w:rPr>
          <w:b w:val="0"/>
          <w:i w:val="0"/>
        </w:rPr>
        <w:t>In month 10 the three groups meet online to review what worked and what did not, and the toolkit is revised on the basis of real use rather than intentions. Month 12 brings the follow-up questionnaire at six months after the mobility, asking what they still use and what they have done with it. In months 16 and 17 the final version of “Digital Detectives” is published, translated by the partners and presented to the youth workers, librarians and community educators of the territory, with results presented across the 14 localities and at the community events the organisation already runs, and with participants co-presenting. Month 17 also brings a participatory evaluation session feeding the final report, and month 18 the final test, the comparison with the baseline, the evaluation report and the reporting back to participants, parents, community partners and the National Agency.</w:t>
      </w:r>
    </w:p>
    <w:p>
      <w:pPr>
        <w:jc w:val="both"/>
      </w:pPr>
      <w:r>
        <w:rPr>
          <w:b w:val="0"/>
          <w:i w:val="0"/>
        </w:rPr>
        <w:t>The follow-up is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And the twenty continue as peer trainers in the three organisations’ later activities, which means the project does not run alongside their learning and then stop: it leaves a competence, a document that describes it, and a place to keep using it.</w:t>
      </w:r>
    </w:p>
    <w:p>
      <w:pPr>
        <w:spacing w:after="200"/>
      </w:pPr>
      <w:r>
        <w:rPr>
          <w:b w:val="0"/>
          <w:i/>
          <w:color w:val="5A5A5A"/>
          <w:sz w:val="16"/>
        </w:rPr>
        <w:t>≈ 2,702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The methods that support reflection and documentation are scheduled sessions in the timetable rather than good intentions. Session D1.4 introduces the eight key competences, the learning diary and Youthpass, and each participant sets two personal learning targets. Sessions D1.5, D2.4, D3.5, D4.4 and D6.4 are the daily reflection cycle, held in the national group first and then in plenary. D4.4 is the mid-point review of each participant’s own learning targets, and D7.2 is the closing Youthpass session. All of them appear in the annexed timetable with their objective, method, competences, output and named responsible person.</w:t>
      </w:r>
    </w:p>
    <w:p>
      <w:pPr>
        <w:jc w:val="both"/>
      </w:pPr>
      <w:r>
        <w:rPr>
          <w:b w:val="0"/>
          <w:i w:val="0"/>
        </w:rPr>
        <w:t>Awareness of learning is built into the structure in three concrete ways rather than added at the end. The digital map each participant draws on Day 1 is kept and returned on Day 7, so they compare their own description of their media habits before and after, which turns an abstract competence gain into something they can see.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And the baseline and final test gives each participant a personal figure, communicated to them individually in month 18 rather than only aggregated for the report.</w:t>
      </w:r>
    </w:p>
    <w:p>
      <w:pPr>
        <w:jc w:val="both"/>
      </w:pPr>
      <w:r>
        <w:rPr>
          <w:b w:val="0"/>
          <w:i w:val="0"/>
        </w:rPr>
        <w:t>The purpose of all this is a transferable skill in its own right: identifying what you learned, documenting it with evidence you can point to, and presenting it in a form someone else understands. That is what makes the certificate useful to a sixteen-year-old afterwards, in the next learning activity they join, in volunteering, in a civic initiative in their own community, and in the next international mobility they apply for. The competence matrix above is the reference document for the whole process, since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2,223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20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12 of the 20 participants — 60%.</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 How will you reach out to them, and what specific measures will you implement to support their participation?</w:t>
            </w:r>
          </w:p>
        </w:tc>
      </w:tr>
    </w:tbl>
    <w:p>
      <w:pPr>
        <w:spacing w:after="0"/>
      </w:pPr>
    </w:p>
    <w:p>
      <w:pPr>
        <w:jc w:val="both"/>
      </w:pPr>
      <w:r>
        <w:rPr>
          <w:b w:val="0"/>
          <w:i w:val="0"/>
        </w:rPr>
        <w:t>The principal barrier is geographical and it affects essentially the whole group: isolated rural mountain communes, small islands of the South Aegean, and a metropolitan periphery with the rural localities behind it. Living in a remote or rural region, on a small island or in a peripheral, less-served area is recognised as an obstacle to participation, and all three groups qualify on that ground alone. Economic barriers follow closely, with 34.4% of the young people aged 14–17 in our survey naming cost and 31.2% naming transport; in these households the first 80 kilometres are a real obstacle rather than a detail. Educational barriers affect the 31.3% who have never taken part in any non-formal education activity, some of them from households with no experience of European programmes at all, for whom the difficulty is not only getting there but knowing that such a thing exists and is meant for them. Linguistically, part of our own territory communicates in Hungarian, in the İstanbul periphery information travels through neighbourhood and community networks, and in the South Aegean through island and regional channels, so a young person whose community life happens outside the national media has less access to reliable information and almost no access to correction of what circulates around them. Socially, 12.5% name lack of self-confidence and 10.4% say their family would not agree, and among the respondents there are young people reached through the social worker, young people with childcare responsibilities and young people from Roma communities; two wrote about exclusion directly: “There shouldn’t be differences of class or gender — if you’re in the 12th grade you should be able to go on Erasmus too” and “The right to study; Roma don’t put an emphasis on school.” Health or disability is not known before selection, and the specific-needs sheet allows it to be declared confidentially, with the support that follows costed individually rather than assumed.</w:t>
      </w:r>
    </w:p>
    <w:p>
      <w:pPr>
        <w:jc w:val="both"/>
      </w:pPr>
      <w:r>
        <w:rPr>
          <w:b w:val="0"/>
          <w:i w:val="0"/>
        </w:rPr>
        <w:t>The first barrier these young people name is not money but information, since 37.5% say the reason opportunities pass them by is that they never hear about them. Outreach is therefore a project activity with its own indicator — a target of at least 60 applications for 20 places — rather than an administrative formality. We work through the youth networks the three organisations already run, including the Rural Youth Parliament and the participants of previous activities, because those are the people who can say what an exchange is actually like; peer-to-peer, since friends are the channel for 38.5% of them; through social media, the channel for 49.0%, in a format adapted to the age group and produced with young people already active in the organisations rather than written by staff and posted at them; through libraries, community centres and local youth spaces, where the call is presented in person rather than pinned up; and through the Social Inclusion Centre and the UNIC — Porolissum project, which work directly with vulnerable households and reach young people who would never see an online call. The call is also carried into the schools of the territory, because that is where half of these young people say they hear about opportunities, but as an information channel only. We do not use municipal noticeboards, which reach 6.2% of this age group: the 14 partner municipalities are used for validating the need and hosting activities, not for recruitment, and saying that plainly is what our own data requires.</w:t>
      </w:r>
    </w:p>
    <w:p>
      <w:pPr>
        <w:jc w:val="both"/>
      </w:pPr>
      <w:r>
        <w:rPr>
          <w:b w:val="0"/>
          <w:i w:val="0"/>
        </w:rPr>
        <w:t>Each barrier is then answered by a specific measure. Against the informational barrier stands the outreach plan above, the call translated into four languages and a plain-language version written for parents rather than for funders. Against the economic one, no contribution of any kind is asked of participants: travel, accommodation, meals, insurance and materials are covered in full, and the rule is stated in writing from the day the call is published, because that is what allows a family to let a child apply at all. Transport is organised and paid from the participant’s home to the point of departure through the inclusion support category, on a dedicated budget line, so that a young person from Măguri-Răcătău, or one who must take a ferry before reaching an airport or a station, does not have to solve the first leg alone. Against educational and linguistic barriers, English is not a selection criterion and A2 is accepted, the glossary is built in four languages, methods are visual and practical, work is done in pairs, group leaders interpret on request and cross-language support is built deliberately into the mixed teams. Against social ones, the preparatory visit includes one young person from each sending organisation so that a participant arrives in August already knowing someone who has been there, the cohort communication group is active two months before departure, the group leader accompanies throughout the journey and the right to leave a session is stated. Health or disability is handled through the confidential specific-needs sheet, an accessible venue and additional inclusion support at real cost where needed, on its own line with its own justification. And family reluctance, named by 10.4%, is answered by the parents’ online meeting held in each country in the local language, with the safeguarding focal point present and the full programme, supervision arrangements and contact chain explained — after which, not before, parental consent is obtained.</w:t>
      </w:r>
    </w:p>
    <w:p>
      <w:pPr>
        <w:spacing w:after="200"/>
      </w:pPr>
      <w:r>
        <w:rPr>
          <w:b w:val="0"/>
          <w:i/>
          <w:color w:val="5A5A5A"/>
          <w:sz w:val="16"/>
        </w:rPr>
        <w:t>≈ 5,520 characters (assumed form limit 6,000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26 persons take part: 20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val="0"/>
          <w:i w:val="0"/>
        </w:rPr>
        <w:t>Before the exchange, in months 3 and 4, four joint online sessions of 90 minutes each bring the groups together in mixed national teams. A shared online workspace holds the documents, the case files uploaded by each group and the templates, while a moderated messaging group with explicit rules keeps day-to-day contact going. A separate online meeting is held with parents in each country, and the group leaders take a two-day online briefing that includes the observer calibration exercise. The baseline test is administered online.</w:t>
      </w:r>
    </w:p>
    <w:p>
      <w:pPr>
        <w:jc w:val="both"/>
      </w:pPr>
      <w:r>
        <w:rPr>
          <w:b w:val="0"/>
          <w:i w:val="0"/>
        </w:rPr>
        <w:t>After the exchange, from month 6 to month 18, the cohort communication group remains the working space for preparing the four local initiatives, with each group posting its plan and the others commenting before it happens. A joint online review meeting follows in month 10, the follow-up questionnaire in month 12, the participatory evaluation session in month 17 held online across the three countries, and the final test in month 18.</w:t>
      </w:r>
    </w:p>
    <w:p>
      <w:pPr>
        <w:jc w:val="both"/>
      </w:pPr>
      <w:r>
        <w:rPr>
          <w:b w:val="0"/>
          <w:i w:val="0"/>
        </w:rPr>
        <w:t>None of this is decoration, for two reasons that come from the data. For a group in which 31.3% have never taken part in a non-formal activity and 12.5% name lack of confidence as a barrier, the virtual phase lowers the threshold, because they arrive in August having already met the people they will be working with, which is a different thing from arriving among strangers. And since the subject of this project is the digital environment,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1,659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three flows. Meals are mostly local and seasonal, sourced from producers in the territory through the short supply chains the organisation itself developed in its rural-development work, which is not a gesture but its own infrastructure, and it lets participants see a short supply chain instead of hearing about one. There are no individually packaged portions, no folders and no printed handouts; worksheets are digital, workshop materials reusable, waste separated at the venue, and participants are asked to bring reusable bottles. Movement inside the territory is on foot or by a single group transport.</w:t>
      </w:r>
    </w:p>
    <w:p>
      <w:pPr>
        <w:jc w:val="both"/>
      </w:pPr>
      <w:r>
        <w:rPr>
          <w:b w:val="0"/>
          <w:i w:val="0"/>
        </w:rPr>
        <w:t>The most durable environmental lesson, though, comes through the content itself. One of the categories of disinformation analysed on Day 2 is environmental and climate content, and participants work on real examples of misleading environmental claims. For this particular group that does more than a briefing on recycling would, and it is consistent with the method of the whole project: they learn to distrust the slogan, including the green one.</w:t>
      </w:r>
    </w:p>
    <w:p>
      <w:pPr>
        <w:spacing w:after="200"/>
      </w:pPr>
      <w:r>
        <w:rPr>
          <w:b w:val="0"/>
          <w:i/>
          <w:color w:val="5A5A5A"/>
          <w:sz w:val="16"/>
        </w:rPr>
        <w:t>≈ 1,369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val="0"/>
          <w:i w:val="0"/>
        </w:rPr>
        <w:t>The roles are separated on purpose. Alina Ioana Baba, as project manager, carries overall coordination, the relationship with the National Agency, the budget, reporting, risk decisions and the partnership agreements. Claudiu Iancu, Coordinator of our Youth Department, owns the learning programme, the three measurement instruments, observer calibration and moderation, the facilitation team and the Youthpass process. Livia Golovatic runs the joint online preparation sessions, leads the Romanian group, coordinates the four local initiatives and checks the gender and locality balance. Marilena Georgescu receives and handles safeguarding concerns and approves the publication of content, and she sits outside the facilitation chain by design, so that a participant can raise a concern about a facilitator. Iulia Fătu handles budget execution, procurement, venue, transport, insurance, financial reporting and the written venue risk assessment. GGD leads media production and AI content and designates one of the two facilitators, while KEA leads the community dialogue method and the local-initiative methodology. Romania and Türkiye each provide one group leader aged 18 or over, and Greece two.</w:t>
      </w:r>
    </w:p>
    <w:p>
      <w:pPr>
        <w:jc w:val="both"/>
      </w:pPr>
      <w:r>
        <w:rPr>
          <w:b w:val="0"/>
          <w:i w:val="0"/>
        </w:rPr>
        <w:t>A written partnership agreement is signed with each partner in month 1, before any expenditure. It sets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It is not a formality: it is the document that makes the deliverables enforceable. Coordination meetings are held online monthly in months 1 to 5 and every two months thereafter, with a standard agenda, a written minute circulated within 48 hours and a rotating chair, while a shared action log records every decision with an owner and a deadline and the risk register is reviewed at every meeting.</w:t>
      </w:r>
    </w:p>
    <w:p>
      <w:pPr>
        <w:jc w:val="both"/>
      </w:pPr>
      <w:r>
        <w:rPr>
          <w:b w:val="0"/>
          <w:i w:val="0"/>
        </w:rPr>
        <w:t>Alignment with the Quality Standards runs through the design rather than beside it. The four basic principles — inclusion and diversity, environmental sustainability, digital transformation and participation — all appear as design decisions traceable to evidence, and the correlation between each survey finding and the decision it produced is documented in the supporting file. Selection is fair and transparent, with published criteria identical across three countries, a commission of at least two people per organisation, and the outcome communicated with reasons to every candidate including those not selected. Preparation of participants runs over four months, with four joint online sessions, a preparatory visit, linguistic and intercultural components, a parents’ meeting in each country, and a baseline that tells the facilitators what the group actually cannot do. Learning outcomes are defined, assessed and recognised through the competence matrix tied to sessions and evidence, the baseline and final test, the observation grid with calibrated observers, and Youthpass as a process from Day 1. Protection and safety rest on the child protection policy, a safeguarding focal point outside the facilitation team, a written venue risk assessment verified on site, parental consents, central insurance, an emergency protocol and a sensitive-content protocol. And results and knowledge of the Programme are shared through the toolkit published free of charge, the Erasmus+ Project Results Platform, the LEADER and ELARD networks, and a Day 1 session telling participants what else the Programme offers them after this project.</w:t>
      </w:r>
    </w:p>
    <w:p>
      <w:pPr>
        <w:spacing w:after="200"/>
      </w:pPr>
      <w:r>
        <w:rPr>
          <w:b w:val="0"/>
          <w:i/>
          <w:color w:val="5A5A5A"/>
          <w:sz w:val="16"/>
        </w:rPr>
        <w:t>≈ 3,662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val="0"/>
          <w:i w:val="0"/>
        </w:rPr>
        <w:t>A preparatory visit is held in the territory in month 3, with two people from each of the two sending organisations — one of them a young person — plus one staff member from the coordinating organisation, five people in total. That staff member contributes to the on-site verification of the logistical and safety arrangements and finalises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on three grounds: all twenty participants are minors, both sending partners are new working relationships for us, and a venue’s suitability cannot be assessed from photographs.</w:t>
      </w:r>
    </w:p>
    <w:p>
      <w:pPr>
        <w:jc w:val="both"/>
      </w:pPr>
      <w:r>
        <w:rPr>
          <w:b w:val="0"/>
          <w:i w:val="0"/>
        </w:rPr>
        <w:t>Travel is booked centrally by the coordinator for all three flows, so that no sending organisation carries a cash-flow burden and green options are compared on the same basis, with distances confirmed through the European Commission distance calculator once departure cities are known. Domestic transport from participants’ homes to the point of departure is organised and paid by the project, which for the Greek group includes the inter-island ferry legs before the group is even assembled, and is the reason that flow is planned with two accompanying adults and four eligible travel days.</w:t>
      </w:r>
    </w:p>
    <w:p>
      <w:pPr>
        <w:jc w:val="both"/>
      </w:pPr>
      <w:r>
        <w:rPr>
          <w:b w:val="0"/>
          <w:i w:val="0"/>
        </w:rPr>
        <w:t>Accommodation is a single venue inside the territory, contracted after the written risk assessment and the on-site check during the preparatory visit, with rooms allocated by gender and age, minors with minors and group leaders on the same floors. Meals are mostly local and seasonal from producers in the territory, and dietary requirements are collected in month 4 and confirmed with the venue in writing. Insurance for health, accident and civil liability covers all 26 people for the whole travel period and is contracted centrally by the coordinator and verified before departure, rather than left to each partner to arrange.</w:t>
      </w:r>
    </w:p>
    <w:p>
      <w:pPr>
        <w:jc w:val="both"/>
      </w:pPr>
      <w:r>
        <w:rPr>
          <w:b w:val="0"/>
          <w:i w:val="0"/>
        </w:rPr>
        <w:t>Visas are the principal logistical risk.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so the procedure begins in month 3, five months before the activity: invitation letters issued by the coordinator, a complete file checked before submission to the consulate, and reserve participants prepared in parallel with their own files ready. This is not a theoretical risk and we treat it as the item most likely to cost the project a participant.</w:t>
      </w:r>
    </w:p>
    <w:p>
      <w:pPr>
        <w:jc w:val="both"/>
      </w:pPr>
      <w:r>
        <w:rPr>
          <w:b w:val="0"/>
          <w:i w:val="0"/>
        </w:rPr>
        <w:t>Greek participants need no visa, but their journey needs planning: a ferry from the participant’s island to Piraeus and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 Throughout the project each participant has a group leader, a cross-country buddy and access to the safeguarding focal point, and the cohort communication group is active from two months before departure until the end.</w:t>
      </w:r>
    </w:p>
    <w:p>
      <w:pPr>
        <w:jc w:val="both"/>
      </w:pPr>
      <w:r>
        <w:rPr>
          <w:b w:val="0"/>
          <w:i w:val="0"/>
        </w:rPr>
        <w:t>The main risks are managed as follows. Visas not obtained for the Turkish group is the high-likelihood, high-impact case, answered by starting in month 3, preparing documents in advance, booking appointments early and holding reserve participants with complete files. Withdrawal of participants is answered by a reserve list of at least two young people per national group, prepared alongside the main group and kept informed. A partner failing to deliver on time is answered by deliverables with dates in the partnership agreement and a monthly action log, then a reminder, a joint problem-solving call and documented reallocation. Low English level blocking participation is answered by the four-language glossary, visual methods, interpreting by group leaders and deliberately balanced mixed teams. A medical or safety incident is answered by insurance, the emergency protocol, a reference medical facility identified during the preparatory visit, a first-aid trained staff member and a night-duty rota. A participant distressed by the working content is answered by the sensitive-content protocol, pre-screened material, the right to leave a session and daily individual availability of the safeguarding focal point. A missed ferry or transfer connection on the Greek route is answered by timings fixed during the preparatory visit, a written route given to parents, a headcount at every boarding, two accompanying adults and a margin day in the travel plan. Observers unable to apply the grid consistently is answered by the month 4 calibration exercise with an 80% agreement target, after which the grid is simplified before the mobility if needed and the decision is minuted, never after seeing the results. Bad weather is answered by an indoor alternative planned for every outdoor session, and a local initiative not delivered by the written commitments made publicly on Day 7, an interim reporting deadline in month 10 and methodological support from KEA.</w:t>
      </w:r>
    </w:p>
    <w:p>
      <w:pPr>
        <w:spacing w:after="200"/>
      </w:pPr>
      <w:r>
        <w:rPr>
          <w:b w:val="0"/>
          <w:i/>
          <w:color w:val="5A5A5A"/>
          <w:sz w:val="16"/>
        </w:rPr>
        <w:t>≈ 5,444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rather than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which is why the project cannot be delivered by one organisation and why swapping a partner for a more convenient one elsewhere would weaken it rather than simplify it.</w:t>
      </w:r>
    </w:p>
    <w:p>
      <w:pPr>
        <w:jc w:val="both"/>
      </w:pPr>
      <w:r>
        <w:rPr>
          <w:b w:val="0"/>
          <w:i w:val="0"/>
        </w:rPr>
        <w:t>LAG Napoca Porolissum, as applicant, coordinator, host and sending organisation, owns the evidence base of 153 young people surveyed, the territory, the venue, the relationship with 14 municipalities and a network of 43 members, and an in-house youth worker and trainer; its own survey identified the problem in the first place. It leads overall coordination, budget, reporting, risk, the learning programme, local logistics, safety, the relationship with the host community and evaluation, and it delivers the partnership agreements in month 1, the verification test and observation grid piloted and locked in months 1 and 2, the baseline and final test in months 2 and 18, the programme and worksheets and the venue and services in month 4, the final toolkit in month 17 and the evaluation report in month 18. It leads sessions D1.2, D1.3, D1.4, D2.1, D2.2, D3.2, D3.3, D4.1, D4.3, D5.1 and D7.2.</w:t>
      </w:r>
    </w:p>
    <w:p>
      <w:pPr>
        <w:jc w:val="both"/>
      </w:pPr>
      <w:r>
        <w:rPr>
          <w:b w:val="0"/>
          <w:i w:val="0"/>
        </w:rPr>
        <w:t>Genç Gönüllüler Derneği was chosen for one competence and one reach. The competence is technical, since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but does not teach how to verify it,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in D6.1 and D6.2, the AI-content session D3.1 and the ethics-of-AI session D3.4, provides pre-departure digital preparation, and designates one of the two facilitators. It delivers the production module and technical guide and its own local needs note, recruits and prepares the Turkish group, runs the local initiative in Türkiye by month 12 and disseminates through its channels.</w:t>
      </w:r>
    </w:p>
    <w:p>
      <w:pPr>
        <w:jc w:val="both"/>
      </w:pPr>
      <w:r>
        <w:rPr>
          <w:b w:val="0"/>
          <w:i w:val="0"/>
        </w:rPr>
        <w:t>KEA IM Syrou was chosen for reach and for method. The reach is into real island isolation, since KEA carries EU and Greek State programmes out to 36 inhabited islands of the Cyclades and the Dodecanese, which means it can recruit young people from small islands that no national programme touches and host a local initiative there afterwards. The method is social work before it is media work: the Day 5 dialogue, in which participants sit down with residents and municipal representatives to find out what false information circulates in a place and who it hurts, is a facilitated community exercise,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local-initiative methodology in D6.3 and the Day 2 strand on how information circulates in small island communities, and delivers its own local needs note — already produced for the South Aegean — the documented local cases, the initiative model and its evaluation grid, the recruitment and preparation of the Greek group, the local initiative in the South Aegean by month 13 and the Greek translation of the toolkit.</w:t>
      </w:r>
    </w:p>
    <w:p>
      <w:pPr>
        <w:jc w:val="both"/>
      </w:pPr>
      <w:r>
        <w:rPr>
          <w:b w:val="0"/>
          <w:i w:val="0"/>
        </w:rPr>
        <w:t>KEA has not run a KA152 exchange before, and we say so plainly, but two things reduce that risk. It has coordinated Erasmus+ projects of its own, including I.D.E.A. (2019-1-EL01-KA204-063049), and managed budgets an order of magnitude larger than this one under ESF+ and Interreg. And it has already been a partner in an Erasmus+ project coordinated from Romania and contracted by this same National Agency, Meta Skills (2021-1-RO01-KA220-ADU-000028211),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5,099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val="0"/>
          <w:i w:val="0"/>
        </w:rPr>
        <w:t>Formal coordination and accountability run through email and a shared document workspace, where all decisions, deliverables and versions live, with a response time of three working days and a rule that nothing binding a partner exists only in a chat. Coordination meetings are video calls, monthly in months 1 to 5 and every two months thereafter, with a standard agenda, a written minute within 48 hours and a rotating chair. Fast operational contact happens in a closed messaging group of the core team only, during the preparation and mobility weeks, and carries no personal data of participants. The group leaders have their own separate channel plus the two-day online briefing in month 4 on safeguarding, escalation, reflection facilitation and the calibrated use of the observation grid. Participants have the moderated cohort group and the four joint online sessions, active from month 3 to month 18, with explicit rules and facilitators moderating. And parents have an online meeting per country in the local language, plus the written participant pack, in months 3 and 4, before parental consents are signed.</w:t>
      </w:r>
    </w:p>
    <w:p>
      <w:pPr>
        <w:spacing w:after="200"/>
      </w:pPr>
      <w:r>
        <w:rPr>
          <w:b w:val="0"/>
          <w:i/>
          <w:color w:val="5A5A5A"/>
          <w:sz w:val="16"/>
        </w:rPr>
        <w:t>≈ 1,119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val="0"/>
          <w:i w:val="0"/>
        </w:rPr>
        <w:t>Youth organisations and youth structures in the three territories carry the call to young people in their own networks, host local initiatives, and take the toolkit into their own standing activity afterwards. Libraries and community centres host the local initiatives and the presentation of the toolkit, and are where it stays available. Local authorities — the 14 partner municipalities of our territory and their counterparts in the other two countries — validate the need, host the Day 5 community dialogue, provide spaces for the local initiatives and receive the evaluation report and its recommendations, though they are not used for recruitment, because our data shows they reach only 6.2% of this age group. The Social Inclusion Centre and the UNIC — Porolissum project carry outreach to young people from vulnerable households, and are the channel through which the inclusion targets are actually met rather than hoped for.</w:t>
      </w:r>
    </w:p>
    <w:p>
      <w:pPr>
        <w:jc w:val="both"/>
      </w:pPr>
      <w:r>
        <w:rPr>
          <w:b w:val="0"/>
          <w:i w:val="0"/>
        </w:rPr>
        <w:t>Closer to the exchange itself, local producers of the territory supply the meals through short supply chains and take part in the intercultural evening, and residents of the host village are interlocutors in the Day 5 dialogue — participants in the learning rather than scenery, since the record of local rumours they help produce becomes the working material of Day 6. Local press is invited to the Day 7 public presentation. National fact-checking and verification resources in the three countries, Romanian, Turkish and Greek, are used as reference material in the Day 3 tool laboratory, one per partner country, so that participants leave with a resource usable at home in their own language. [TO CONFIRM: the final list, checked for being free of charge and appropriate for minors.] And the LEADER and ELARD networks carry the method to Local Action Groups across rural Europe, an audience that rarely encounters media-literacy tools at all.</w:t>
      </w:r>
    </w:p>
    <w:p>
      <w:pPr>
        <w:spacing w:after="200"/>
      </w:pPr>
      <w:r>
        <w:rPr>
          <w:b w:val="0"/>
          <w:i/>
          <w:color w:val="5A5A5A"/>
          <w:sz w:val="16"/>
        </w:rPr>
        <w:t>≈ 1,882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Every indicator has a baseline, a target, an instrument, an owner and a moment of measurement, and the three main instruments exist in writing before submission.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2041"/>
            <w:shd w:val="clear" w:color="auto" w:fill="E8EEF7"/>
          </w:tcPr>
          <w:p>
            <w:pPr>
              <w:spacing w:before="40" w:after="40"/>
            </w:pPr>
            <w:r/>
            <w:r>
              <w:rPr>
                <w:b/>
                <w:i w:val="0"/>
                <w:color w:val="003D82"/>
                <w:sz w:val="17"/>
              </w:rPr>
              <w:t>Indicator</w:t>
            </w:r>
          </w:p>
        </w:tc>
        <w:tc>
          <w:tcPr>
            <w:tcW w:type="dxa" w:w="1361"/>
            <w:shd w:val="clear" w:color="auto" w:fill="E8EEF7"/>
          </w:tcPr>
          <w:p>
            <w:pPr>
              <w:spacing w:before="40" w:after="40"/>
            </w:pPr>
            <w:r/>
            <w:r>
              <w:rPr>
                <w:b/>
                <w:i w:val="0"/>
                <w:color w:val="003D82"/>
                <w:sz w:val="17"/>
              </w:rPr>
              <w:t>Baseline</w:t>
            </w:r>
          </w:p>
        </w:tc>
        <w:tc>
          <w:tcPr>
            <w:tcW w:type="dxa" w:w="1814"/>
            <w:shd w:val="clear" w:color="auto" w:fill="E8EEF7"/>
          </w:tcPr>
          <w:p>
            <w:pPr>
              <w:spacing w:before="40" w:after="40"/>
            </w:pPr>
            <w:r/>
            <w:r>
              <w:rPr>
                <w:b/>
                <w:i w:val="0"/>
                <w:color w:val="003D82"/>
                <w:sz w:val="17"/>
              </w:rPr>
              <w:t>Target</w:t>
            </w:r>
          </w:p>
        </w:tc>
        <w:tc>
          <w:tcPr>
            <w:tcW w:type="dxa" w:w="2268"/>
            <w:shd w:val="clear" w:color="auto" w:fill="E8EEF7"/>
          </w:tcPr>
          <w:p>
            <w:pPr>
              <w:spacing w:before="40" w:after="40"/>
            </w:pPr>
            <w:r/>
            <w:r>
              <w:rPr>
                <w:b/>
                <w:i w:val="0"/>
                <w:color w:val="003D82"/>
                <w:sz w:val="17"/>
              </w:rPr>
              <w:t>Instrument</w:t>
            </w:r>
          </w:p>
        </w:tc>
        <w:tc>
          <w:tcPr>
            <w:tcW w:type="dxa" w:w="1928"/>
            <w:shd w:val="clear" w:color="auto" w:fill="E8EEF7"/>
          </w:tcPr>
          <w:p>
            <w:pPr>
              <w:spacing w:before="40" w:after="40"/>
            </w:pPr>
            <w:r/>
            <w:r>
              <w:rPr>
                <w:b/>
                <w:i w:val="0"/>
                <w:color w:val="003D82"/>
                <w:sz w:val="17"/>
              </w:rPr>
              <w:t>When and who</w:t>
            </w:r>
          </w:p>
        </w:tc>
      </w:tr>
      <w:tr>
        <w:tc>
          <w:tcPr>
            <w:tcW w:type="dxa" w:w="2041"/>
          </w:tcPr>
          <w:p>
            <w:pPr>
              <w:spacing w:before="40" w:after="40"/>
            </w:pPr>
            <w:r/>
            <w:r>
              <w:rPr>
                <w:b w:val="0"/>
                <w:i w:val="0"/>
                <w:sz w:val="17"/>
              </w:rPr>
              <w:t>Mean score on the practical verification test (O1)</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+30% or more, for at least 16 of 20</w:t>
            </w:r>
          </w:p>
        </w:tc>
        <w:tc>
          <w:tcPr>
            <w:tcW w:type="dxa" w:w="2268"/>
          </w:tcPr>
          <w:p>
            <w:pPr>
              <w:spacing w:before="40" w:after="40"/>
            </w:pPr>
            <w:r/>
            <w:r>
              <w:rPr>
                <w:b w:val="0"/>
                <w:i w:val="0"/>
                <w:sz w:val="17"/>
              </w:rPr>
              <w:t>15-item, 30-point practical test, Form A and Form B, online, closed-device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Participants applying 4 verification techniques (O2)</w:t>
            </w:r>
          </w:p>
        </w:tc>
        <w:tc>
          <w:tcPr>
            <w:tcW w:type="dxa" w:w="1361"/>
          </w:tcPr>
          <w:p>
            <w:pPr>
              <w:spacing w:before="40" w:after="40"/>
            </w:pPr>
            <w:r/>
            <w:r>
              <w:rPr>
                <w:b w:val="0"/>
                <w:i w:val="0"/>
                <w:sz w:val="17"/>
              </w:rPr>
              <w:t>0 at selection</w:t>
            </w:r>
          </w:p>
        </w:tc>
        <w:tc>
          <w:tcPr>
            <w:tcW w:type="dxa" w:w="1814"/>
          </w:tcPr>
          <w:p>
            <w:pPr>
              <w:spacing w:before="40" w:after="40"/>
            </w:pPr>
            <w:r/>
            <w:r>
              <w:rPr>
                <w:b w:val="0"/>
                <w:i w:val="0"/>
                <w:sz w:val="17"/>
              </w:rPr>
              <w:t>At least 16 of 20</w:t>
            </w:r>
          </w:p>
        </w:tc>
        <w:tc>
          <w:tcPr>
            <w:tcW w:type="dxa" w:w="2268"/>
          </w:tcPr>
          <w:p>
            <w:pPr>
              <w:spacing w:before="40" w:after="40"/>
            </w:pPr>
            <w:r/>
            <w:r>
              <w:rPr>
                <w:b w:val="0"/>
                <w:i w:val="0"/>
                <w:sz w:val="17"/>
              </w:rPr>
              <w:t>Observation grid, 4 techniques scored 0–2, six calibrated observers, 25% double-scored</w:t>
            </w:r>
          </w:p>
        </w:tc>
        <w:tc>
          <w:tcPr>
            <w:tcW w:type="dxa" w:w="1928"/>
          </w:tcPr>
          <w:p>
            <w:pPr>
              <w:spacing w:before="40" w:after="40"/>
            </w:pPr>
            <w:r/>
            <w:r>
              <w:rPr>
                <w:b w:val="0"/>
                <w:i w:val="0"/>
                <w:sz w:val="17"/>
              </w:rPr>
              <w:t>Day 4, and in short form at the local initiatives; facilitators and group leaders</w:t>
            </w:r>
          </w:p>
        </w:tc>
      </w:tr>
      <w:tr>
        <w:tc>
          <w:tcPr>
            <w:tcW w:type="dxa" w:w="2041"/>
          </w:tcPr>
          <w:p>
            <w:pPr>
              <w:spacing w:before="40" w:after="40"/>
            </w:pPr>
            <w:r/>
            <w:r>
              <w:rPr>
                <w:b w:val="0"/>
                <w:i w:val="0"/>
                <w:sz w:val="17"/>
              </w:rPr>
              <w:t>Young people reached through local initiatives (O3)</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80, at least 20 per community</w:t>
            </w:r>
          </w:p>
        </w:tc>
        <w:tc>
          <w:tcPr>
            <w:tcW w:type="dxa" w:w="2268"/>
          </w:tcPr>
          <w:p>
            <w:pPr>
              <w:spacing w:before="40" w:after="40"/>
            </w:pPr>
            <w:r/>
            <w:r>
              <w:rPr>
                <w:b w:val="0"/>
                <w:i w:val="0"/>
                <w:sz w:val="17"/>
              </w:rPr>
              <w:t>Attendance lists, short activity reports, photographs with consent</w:t>
            </w:r>
          </w:p>
        </w:tc>
        <w:tc>
          <w:tcPr>
            <w:tcW w:type="dxa" w:w="1928"/>
          </w:tcPr>
          <w:p>
            <w:pPr>
              <w:spacing w:before="40" w:after="40"/>
            </w:pPr>
            <w:r/>
            <w:r>
              <w:rPr>
                <w:b w:val="0"/>
                <w:i w:val="0"/>
                <w:sz w:val="17"/>
              </w:rPr>
              <w:t>After each initiative, months 6–15; group leaders</w:t>
            </w:r>
          </w:p>
        </w:tc>
      </w:tr>
      <w:tr>
        <w:tc>
          <w:tcPr>
            <w:tcW w:type="dxa" w:w="2041"/>
          </w:tcPr>
          <w:p>
            <w:pPr>
              <w:spacing w:before="40" w:after="40"/>
            </w:pPr>
            <w:r/>
            <w:r>
              <w:rPr>
                <w:b w:val="0"/>
                <w:i w:val="0"/>
                <w:sz w:val="17"/>
              </w:rPr>
              <w:t>Beneficiaries able to apply 2 simple methods (O3)</w:t>
            </w:r>
          </w:p>
        </w:tc>
        <w:tc>
          <w:tcPr>
            <w:tcW w:type="dxa" w:w="1361"/>
          </w:tcPr>
          <w:p>
            <w:pPr>
              <w:spacing w:before="40" w:after="40"/>
            </w:pPr>
            <w:r/>
            <w:r>
              <w:rPr>
                <w:b w:val="0"/>
                <w:i w:val="0"/>
                <w:sz w:val="17"/>
              </w:rPr>
              <w:t>3 entry questions per workshop</w:t>
            </w:r>
          </w:p>
        </w:tc>
        <w:tc>
          <w:tcPr>
            <w:tcW w:type="dxa" w:w="1814"/>
          </w:tcPr>
          <w:p>
            <w:pPr>
              <w:spacing w:before="40" w:after="40"/>
            </w:pPr>
            <w:r/>
            <w:r>
              <w:rPr>
                <w:b w:val="0"/>
                <w:i w:val="0"/>
                <w:sz w:val="17"/>
              </w:rPr>
              <w:t>At least 70%</w:t>
            </w:r>
          </w:p>
        </w:tc>
        <w:tc>
          <w:tcPr>
            <w:tcW w:type="dxa" w:w="2268"/>
          </w:tcPr>
          <w:p>
            <w:pPr>
              <w:spacing w:before="40" w:after="40"/>
            </w:pPr>
            <w:r/>
            <w:r>
              <w:rPr>
                <w:b w:val="0"/>
                <w:i w:val="0"/>
                <w:sz w:val="17"/>
              </w:rPr>
              <w:t>The 10-minute exercise at the end of each local initiative</w:t>
            </w:r>
          </w:p>
        </w:tc>
        <w:tc>
          <w:tcPr>
            <w:tcW w:type="dxa" w:w="1928"/>
          </w:tcPr>
          <w:p>
            <w:pPr>
              <w:spacing w:before="40" w:after="40"/>
            </w:pPr>
            <w:r/>
            <w:r>
              <w:rPr>
                <w:b w:val="0"/>
                <w:i w:val="0"/>
                <w:sz w:val="17"/>
              </w:rPr>
              <w:t>At each initiative; group leader</w:t>
            </w:r>
          </w:p>
        </w:tc>
      </w:tr>
      <w:tr>
        <w:tc>
          <w:tcPr>
            <w:tcW w:type="dxa" w:w="2041"/>
          </w:tcPr>
          <w:p>
            <w:pPr>
              <w:spacing w:before="40" w:after="40"/>
            </w:pPr>
            <w:r/>
            <w:r>
              <w:rPr>
                <w:b w:val="0"/>
                <w:i w:val="0"/>
                <w:sz w:val="17"/>
              </w:rPr>
              <w:t>Overconfidence sub-score (items 9 and 14)</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Moves proportionally more than the total</w:t>
            </w:r>
          </w:p>
        </w:tc>
        <w:tc>
          <w:tcPr>
            <w:tcW w:type="dxa" w:w="2268"/>
          </w:tcPr>
          <w:p>
            <w:pPr>
              <w:spacing w:before="40" w:after="40"/>
            </w:pPr>
            <w:r/>
            <w:r>
              <w:rPr>
                <w:b w:val="0"/>
                <w:i w:val="0"/>
                <w:sz w:val="17"/>
              </w:rPr>
              <w:t>Same test, reported as a separate 4-point sub-score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Confidence gap (believed minus actual ability)</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Narrower at month 18</w:t>
            </w:r>
          </w:p>
        </w:tc>
        <w:tc>
          <w:tcPr>
            <w:tcW w:type="dxa" w:w="2268"/>
          </w:tcPr>
          <w:p>
            <w:pPr>
              <w:spacing w:before="40" w:after="40"/>
            </w:pPr>
            <w:r/>
            <w:r>
              <w:rPr>
                <w:b w:val="0"/>
                <w:i w:val="0"/>
                <w:sz w:val="17"/>
              </w:rPr>
              <w:t>Unscored confidence question converted to the test scale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First-time participants in a European mobility</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15 of 20</w:t>
            </w:r>
          </w:p>
        </w:tc>
        <w:tc>
          <w:tcPr>
            <w:tcW w:type="dxa" w:w="2268"/>
          </w:tcPr>
          <w:p>
            <w:pPr>
              <w:spacing w:before="40" w:after="40"/>
            </w:pPr>
            <w:r/>
            <w:r>
              <w:rPr>
                <w:b w:val="0"/>
                <w:i w:val="0"/>
                <w:sz w:val="17"/>
              </w:rPr>
              <w:t>Selection form</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Participants with fewer opportunities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12 of 20</w:t>
            </w:r>
          </w:p>
        </w:tc>
        <w:tc>
          <w:tcPr>
            <w:tcW w:type="dxa" w:w="2268"/>
          </w:tcPr>
          <w:p>
            <w:pPr>
              <w:spacing w:before="40" w:after="40"/>
            </w:pPr>
            <w:r/>
            <w:r>
              <w:rPr>
                <w:b w:val="0"/>
                <w:i w:val="0"/>
                <w:sz w:val="17"/>
              </w:rPr>
              <w:t>Selection form and specific-needs sheet</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Gender balance</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40% of each gender in every national group</w:t>
            </w:r>
          </w:p>
        </w:tc>
        <w:tc>
          <w:tcPr>
            <w:tcW w:type="dxa" w:w="2268"/>
          </w:tcPr>
          <w:p>
            <w:pPr>
              <w:spacing w:before="40" w:after="40"/>
            </w:pPr>
            <w:r/>
            <w:r>
              <w:rPr>
                <w:b w:val="0"/>
                <w:i w:val="0"/>
                <w:sz w:val="17"/>
              </w:rPr>
              <w:t>Participant list</w:t>
            </w:r>
          </w:p>
        </w:tc>
        <w:tc>
          <w:tcPr>
            <w:tcW w:type="dxa" w:w="1928"/>
          </w:tcPr>
          <w:p>
            <w:pPr>
              <w:spacing w:before="40" w:after="40"/>
            </w:pPr>
            <w:r/>
            <w:r>
              <w:rPr>
                <w:b w:val="0"/>
                <w:i w:val="0"/>
                <w:sz w:val="17"/>
              </w:rPr>
              <w:t>Month 2 and final confirmation; activity coordinator</w:t>
            </w:r>
          </w:p>
        </w:tc>
      </w:tr>
      <w:tr>
        <w:tc>
          <w:tcPr>
            <w:tcW w:type="dxa" w:w="2041"/>
          </w:tcPr>
          <w:p>
            <w:pPr>
              <w:spacing w:before="40" w:after="40"/>
            </w:pPr>
            <w:r/>
            <w:r>
              <w:rPr>
                <w:b w:val="0"/>
                <w:i w:val="0"/>
                <w:sz w:val="17"/>
              </w:rPr>
              <w:t>Applications received</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60 for 20 places</w:t>
            </w:r>
          </w:p>
        </w:tc>
        <w:tc>
          <w:tcPr>
            <w:tcW w:type="dxa" w:w="2268"/>
          </w:tcPr>
          <w:p>
            <w:pPr>
              <w:spacing w:before="40" w:after="40"/>
            </w:pPr>
            <w:r/>
            <w:r>
              <w:rPr>
                <w:b w:val="0"/>
                <w:i w:val="0"/>
                <w:sz w:val="17"/>
              </w:rPr>
              <w:t>Application register</w:t>
            </w:r>
          </w:p>
        </w:tc>
        <w:tc>
          <w:tcPr>
            <w:tcW w:type="dxa" w:w="1928"/>
          </w:tcPr>
          <w:p>
            <w:pPr>
              <w:spacing w:before="40" w:after="40"/>
            </w:pPr>
            <w:r/>
            <w:r>
              <w:rPr>
                <w:b w:val="0"/>
                <w:i w:val="0"/>
                <w:sz w:val="17"/>
              </w:rPr>
              <w:t>Month 2; each partner for its own group</w:t>
            </w:r>
          </w:p>
        </w:tc>
      </w:tr>
      <w:tr>
        <w:tc>
          <w:tcPr>
            <w:tcW w:type="dxa" w:w="2041"/>
          </w:tcPr>
          <w:p>
            <w:pPr>
              <w:spacing w:before="40" w:after="40"/>
            </w:pPr>
            <w:r/>
            <w:r>
              <w:rPr>
                <w:b w:val="0"/>
                <w:i w:val="0"/>
                <w:sz w:val="17"/>
              </w:rPr>
              <w:t>Satisfaction and perceived learning</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80% positive</w:t>
            </w:r>
          </w:p>
        </w:tc>
        <w:tc>
          <w:tcPr>
            <w:tcW w:type="dxa" w:w="2268"/>
          </w:tcPr>
          <w:p>
            <w:pPr>
              <w:spacing w:before="40" w:after="40"/>
            </w:pPr>
            <w:r/>
            <w:r>
              <w:rPr>
                <w:b w:val="0"/>
                <w:i w:val="0"/>
                <w:sz w:val="17"/>
              </w:rPr>
              <w:t>End-of-mobility questionnaire and daily reflection records</w:t>
            </w:r>
          </w:p>
        </w:tc>
        <w:tc>
          <w:tcPr>
            <w:tcW w:type="dxa" w:w="1928"/>
          </w:tcPr>
          <w:p>
            <w:pPr>
              <w:spacing w:before="40" w:after="40"/>
            </w:pPr>
            <w:r/>
            <w:r>
              <w:rPr>
                <w:b w:val="0"/>
                <w:i w:val="0"/>
                <w:sz w:val="17"/>
              </w:rPr>
              <w:t>Daily and on Day 7; facilitators</w:t>
            </w:r>
          </w:p>
        </w:tc>
      </w:tr>
      <w:tr>
        <w:tc>
          <w:tcPr>
            <w:tcW w:type="dxa" w:w="2041"/>
          </w:tcPr>
          <w:p>
            <w:pPr>
              <w:spacing w:before="40" w:after="40"/>
            </w:pPr>
            <w:r/>
            <w:r>
              <w:rPr>
                <w:b w:val="0"/>
                <w:i w:val="0"/>
                <w:sz w:val="17"/>
              </w:rPr>
              <w:t>Retention at 6 months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15 of 20 still applying something</w:t>
            </w:r>
          </w:p>
        </w:tc>
        <w:tc>
          <w:tcPr>
            <w:tcW w:type="dxa" w:w="2268"/>
          </w:tcPr>
          <w:p>
            <w:pPr>
              <w:spacing w:before="40" w:after="40"/>
            </w:pPr>
            <w:r/>
            <w:r>
              <w:rPr>
                <w:b w:val="0"/>
                <w:i w:val="0"/>
                <w:sz w:val="17"/>
              </w:rPr>
              <w:t>Follow-up questionnaire</w:t>
            </w:r>
          </w:p>
        </w:tc>
        <w:tc>
          <w:tcPr>
            <w:tcW w:type="dxa" w:w="1928"/>
          </w:tcPr>
          <w:p>
            <w:pPr>
              <w:spacing w:before="40" w:after="40"/>
            </w:pPr>
            <w:r/>
            <w:r>
              <w:rPr>
                <w:b w:val="0"/>
                <w:i w:val="0"/>
                <w:sz w:val="17"/>
              </w:rPr>
              <w:t>Month 12; activity coordinator</w:t>
            </w:r>
          </w:p>
        </w:tc>
      </w:tr>
      <w:tr>
        <w:tc>
          <w:tcPr>
            <w:tcW w:type="dxa" w:w="2041"/>
          </w:tcPr>
          <w:p>
            <w:pPr>
              <w:spacing w:before="40" w:after="40"/>
            </w:pPr>
            <w:r/>
            <w:r>
              <w:rPr>
                <w:b w:val="0"/>
                <w:i w:val="0"/>
                <w:sz w:val="17"/>
              </w:rPr>
              <w:t>External uptake of the toolkit</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4 organisations outside the partnership</w:t>
            </w:r>
          </w:p>
        </w:tc>
        <w:tc>
          <w:tcPr>
            <w:tcW w:type="dxa" w:w="2268"/>
          </w:tcPr>
          <w:p>
            <w:pPr>
              <w:spacing w:before="40" w:after="40"/>
            </w:pPr>
            <w:r/>
            <w:r>
              <w:rPr>
                <w:b w:val="0"/>
                <w:i w:val="0"/>
                <w:sz w:val="17"/>
              </w:rPr>
              <w:t>Written confirmations</w:t>
            </w:r>
          </w:p>
        </w:tc>
        <w:tc>
          <w:tcPr>
            <w:tcW w:type="dxa" w:w="1928"/>
          </w:tcPr>
          <w:p>
            <w:pPr>
              <w:spacing w:before="40" w:after="40"/>
            </w:pPr>
            <w:r/>
            <w:r>
              <w:rPr>
                <w:b w:val="0"/>
                <w:i w:val="0"/>
                <w:sz w:val="17"/>
              </w:rPr>
              <w:t>Months 16–18; communication officer</w:t>
            </w:r>
          </w:p>
        </w:tc>
      </w:tr>
    </w:tbl>
    <w:p>
      <w:pPr>
        <w:spacing w:after="0"/>
      </w:pPr>
    </w:p>
    <w:p>
      <w:pPr>
        <w:jc w:val="both"/>
      </w:pPr>
      <w:r>
        <w:rPr>
          <w:b w:val="0"/>
          <w:i w:val="0"/>
        </w:rPr>
        <w:t>The evaluation runs to a fixed sequence. Before month 2 both instruments are piloted with five to eight young people aged 14–17 from the territory who are not project participants, and any item that more than 80% or fewer than 10% of the pilot group answers correctly is rewritten, so that neither instrument is used on the cohort untested. In month 2 the baseline is taken and the threshold recalibration rule is applied once, on the group mean, with the decision recorded in writing. In month 4 all observers score the same recorded sequence independently and compare, targeting exact agreement on at least 80% of judgements, and if that is not reached the grid is simplified before the mobility and the decision minuted.</w:t>
      </w:r>
    </w:p>
    <w:p>
      <w:pPr>
        <w:jc w:val="both"/>
      </w:pPr>
      <w:r>
        <w:rPr>
          <w:b w:val="0"/>
          <w:i w:val="0"/>
        </w:rPr>
        <w:t>During the mobility, the daily reflection groups produce output that visibly adjusts the next day’s programme, facilitators observe, the Day 4 grid is applied with moderation immediately afterwards, and individual learning targets are reviewed at the mid-point. On Day 7 come the participatory evaluation, an anonymous written questionnaire, the Youthpass reflection and the comparison of each participant’s Day 1 digital map with their Day 7 reflection. After each local initiative there are attendance records, a short report and the ten-minute exercise. Month 10 brings the joint online review that feeds a revision of the toolkit, month 12 the follow-up questionnaire, month 17 a participatory evaluation with participants and a consortium evaluation meeting, and month 18 the final test, the comparison with the baseline, the evaluation report, and results communicated individually to each participant and collectively to parents, community partners, the 14 municipalities and the National Agency.</w:t>
      </w:r>
    </w:p>
    <w:p>
      <w:pPr>
        <w:jc w:val="both"/>
      </w:pPr>
      <w:r>
        <w:rPr>
          <w:b w:val="0"/>
          <w:i w:val="0"/>
        </w:rPr>
        <w:t>The instruments are designed so that failure is visible. A practical test can show no improvement, an observation grid can record that a participant did not perform a technique, and a participant who does not take both forms is excluded from the calculation and reported as excluded rather than quietly dropped from the denominator. We prefer that to a satisfaction questionnaire that always comes back positive. Fifteen items and twenty participants is not a validated psychometric instrument and we will not describe it as one: it is fit for tracking change inside this cohort and for telling the team where the learning worked, and the final report will say what was achieved and what was not.</w:t>
      </w:r>
    </w:p>
    <w:p>
      <w:pPr>
        <w:spacing w:after="200"/>
      </w:pPr>
      <w:r>
        <w:rPr>
          <w:b w:val="0"/>
          <w:i/>
          <w:color w:val="5A5A5A"/>
          <w:sz w:val="16"/>
        </w:rPr>
        <w:t>≈ 4,782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val="0"/>
          <w:i w:val="0"/>
        </w:rPr>
        <w:t>Something concrete stays behind and someone owns it. The “Digital Detectives” toolkit — worksheets, exercises, games, verification grids, the manipulation grid produced by the participants and the AI-recognition sheet they wrote themselves — is tested during the mobility, revised in month 10 on the basis of what actually worked in the four local initiatives, and published free of charge in month 17 in English and Romanian, with Greek and Turkish translations delivered by the partners. It is not a report about the project but a set of materials a youth worker can pick up and use on a Tuesday afternoon.</w:t>
      </w:r>
    </w:p>
    <w:p>
      <w:pPr>
        <w:jc w:val="both"/>
      </w:pPr>
      <w:r>
        <w:rPr>
          <w:b w:val="0"/>
          <w:i w:val="0"/>
        </w:rPr>
        <w:t>It then enters standing activity rather than an archive. The coordinator integrates the toolkit into the youth animation work it already runs across its 14 partner municipalities and into the community events it holds every year; GGD takes it into the volunteer network it trains annually and into its rural youth programme; KEA takes it into its creative activity centre for children and young people and out to the 36 islands it serves. Each organisation names, in the partnership agreement, the person who owns it afterwards — a named person, not a department.</w:t>
      </w:r>
    </w:p>
    <w:p>
      <w:pPr>
        <w:jc w:val="both"/>
      </w:pPr>
      <w:r>
        <w:rPr>
          <w:b w:val="0"/>
          <w:i w:val="0"/>
        </w:rPr>
        <w:t>The twenty stay as well. They are not released at the end: each has already run a local initiative, and the organisations then involve them as peer trainers, which is both cheaper and more effective than recruiting a new cohort from scratch, while the cohort communication group remains open. The instruments stay too, since the verification test, the observation grid and the beneficiary exercise are reusable, and the coordinator ends the project owning three measurement instruments it did not have before — which changes what it can honestly claim in every youth project it writes afterwards.</w:t>
      </w:r>
    </w:p>
    <w:p>
      <w:pPr>
        <w:jc w:val="both"/>
      </w:pPr>
      <w:r>
        <w:rPr>
          <w:b w:val="0"/>
          <w:i w:val="0"/>
        </w:rPr>
        <w:t>Finally, the partnership decides its own future. In month 17 the three organisations formally assess whether to continue, and with what: a second exchange hosted by another partner, or a youth participation project on dialogue with local decision-makers. The decision is minuted either way, including if it is not to continue.</w:t>
      </w:r>
    </w:p>
    <w:p>
      <w:pPr>
        <w:spacing w:after="200"/>
      </w:pPr>
      <w:r>
        <w:rPr>
          <w:b w:val="0"/>
          <w:i/>
          <w:color w:val="5A5A5A"/>
          <w:sz w:val="16"/>
        </w:rPr>
        <w:t>≈ 2,097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 xml:space="preserve">Yes. Four measures, each with an addressee rather than a general intention. </w:t>
      </w:r>
      <w:r>
        <w:rPr>
          <w:b/>
          <w:i w:val="0"/>
        </w:rPr>
        <w:t>To youth organisations, libraries and community centres in the territory:</w:t>
      </w:r>
      <w:r>
        <w:rPr>
          <w:b w:val="0"/>
          <w:i w:val="0"/>
        </w:rPr>
        <w:t xml:space="preserve"> the toolkit offered free, with a presentation session in month 17 for the youth workers, librarians and community educators who will actually use it. Romania has no coordinated national media-literacy strategy and its policies in this area are fragmented across separate legal frameworks; in that context a free, tested set of materials in the hands of people who already work with rural young people has value out of proportion to the size of this project. </w:t>
      </w:r>
      <w:r>
        <w:rPr>
          <w:b/>
          <w:i w:val="0"/>
        </w:rPr>
        <w:t>To youth organisations across Europe:</w:t>
      </w:r>
      <w:r>
        <w:rPr>
          <w:b w:val="0"/>
          <w:i w:val="0"/>
        </w:rPr>
        <w:t xml:space="preserve"> publication on the Erasmus+ Project Results Platform, dissemination through GGD’s and KEA’s own channels — KEA alone reaches more than 80 regional media outlets, a website with over 12,000 monthly visitors and a newsletter of 800 recipients — and dissemination through the LEADER and ELARD networks, where the coordinator already has transnational cooperation experience; target, at least four organisations outside the partnership confirming in writing that they use the toolkit. </w:t>
      </w:r>
      <w:r>
        <w:rPr>
          <w:b/>
          <w:i w:val="0"/>
        </w:rPr>
        <w:t>To local institutions:</w:t>
      </w:r>
      <w:r>
        <w:rPr>
          <w:b w:val="0"/>
          <w:i w:val="0"/>
        </w:rPr>
        <w:t xml:space="preserve"> the evaluation report and a short set of recommendations delivered to the 14 partner municipalities and to the partner institutions in the other three countries. </w:t>
      </w:r>
      <w:r>
        <w:rPr>
          <w:b/>
          <w:i w:val="0"/>
        </w:rPr>
        <w:t>To the communities themselves:</w:t>
      </w:r>
      <w:r>
        <w:rPr>
          <w:b w:val="0"/>
          <w:i w:val="0"/>
        </w:rPr>
        <w:t xml:space="preserve"> the four media products remain in circulation on the organisations’ channels — unlike a report, they are the kind of thing people actually watch.</w:t>
      </w:r>
    </w:p>
    <w:p>
      <w:pPr>
        <w:spacing w:after="200"/>
      </w:pPr>
      <w:r>
        <w:rPr>
          <w:b w:val="0"/>
          <w:i/>
          <w:color w:val="5A5A5A"/>
          <w:sz w:val="16"/>
        </w:rPr>
        <w:t>≈ 1,489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814"/>
            <w:shd w:val="clear" w:color="auto" w:fill="E8EEF7"/>
          </w:tcPr>
          <w:p>
            <w:pPr>
              <w:spacing w:before="40" w:after="40"/>
            </w:pPr>
            <w:r/>
            <w:r>
              <w:rPr>
                <w:b/>
                <w:i w:val="0"/>
                <w:color w:val="003D82"/>
                <w:sz w:val="17"/>
              </w:rPr>
              <w:t>Audience</w:t>
            </w:r>
          </w:p>
        </w:tc>
        <w:tc>
          <w:tcPr>
            <w:tcW w:type="dxa" w:w="2381"/>
            <w:shd w:val="clear" w:color="auto" w:fill="E8EEF7"/>
          </w:tcPr>
          <w:p>
            <w:pPr>
              <w:spacing w:before="40" w:after="40"/>
            </w:pPr>
            <w:r/>
            <w:r>
              <w:rPr>
                <w:b/>
                <w:i w:val="0"/>
                <w:color w:val="003D82"/>
                <w:sz w:val="17"/>
              </w:rPr>
              <w:t>Channel</w:t>
            </w:r>
          </w:p>
        </w:tc>
        <w:tc>
          <w:tcPr>
            <w:tcW w:type="dxa" w:w="2381"/>
            <w:shd w:val="clear" w:color="auto" w:fill="E8EEF7"/>
          </w:tcPr>
          <w:p>
            <w:pPr>
              <w:spacing w:before="40" w:after="40"/>
            </w:pPr>
            <w:r/>
            <w:r>
              <w:rPr>
                <w:b/>
                <w:i w:val="0"/>
                <w:color w:val="003D82"/>
                <w:sz w:val="17"/>
              </w:rPr>
              <w:t>Product</w:t>
            </w:r>
          </w:p>
        </w:tc>
        <w:tc>
          <w:tcPr>
            <w:tcW w:type="dxa" w:w="2835"/>
            <w:shd w:val="clear" w:color="auto" w:fill="E8EEF7"/>
          </w:tcPr>
          <w:p>
            <w:pPr>
              <w:spacing w:before="40" w:after="40"/>
            </w:pPr>
            <w:r/>
            <w:r>
              <w:rPr>
                <w:b/>
                <w:i w:val="0"/>
                <w:color w:val="003D82"/>
                <w:sz w:val="17"/>
              </w:rPr>
              <w:t>Indicator and owner</w:t>
            </w:r>
          </w:p>
        </w:tc>
      </w:tr>
      <w:tr>
        <w:tc>
          <w:tcPr>
            <w:tcW w:type="dxa" w:w="1814"/>
          </w:tcPr>
          <w:p>
            <w:pPr>
              <w:spacing w:before="40" w:after="40"/>
            </w:pPr>
            <w:r/>
            <w:r>
              <w:rPr>
                <w:b w:val="0"/>
                <w:i w:val="0"/>
                <w:sz w:val="17"/>
              </w:rPr>
              <w:t>Young people in the three communities</w:t>
            </w:r>
          </w:p>
        </w:tc>
        <w:tc>
          <w:tcPr>
            <w:tcW w:type="dxa" w:w="2381"/>
          </w:tcPr>
          <w:p>
            <w:pPr>
              <w:spacing w:before="40" w:after="40"/>
            </w:pPr>
            <w:r/>
            <w:r>
              <w:rPr>
                <w:b w:val="0"/>
                <w:i w:val="0"/>
                <w:sz w:val="17"/>
              </w:rPr>
              <w:t>The four local initiatives; the organisations’ social media; youth centres, libraries and community centres</w:t>
            </w:r>
          </w:p>
        </w:tc>
        <w:tc>
          <w:tcPr>
            <w:tcW w:type="dxa" w:w="2381"/>
          </w:tcPr>
          <w:p>
            <w:pPr>
              <w:spacing w:before="40" w:after="40"/>
            </w:pPr>
            <w:r/>
            <w:r>
              <w:rPr>
                <w:b w:val="0"/>
                <w:i w:val="0"/>
                <w:sz w:val="17"/>
              </w:rPr>
              <w:t>Workshops, the four media products, the toolkit</w:t>
            </w:r>
          </w:p>
        </w:tc>
        <w:tc>
          <w:tcPr>
            <w:tcW w:type="dxa" w:w="2835"/>
          </w:tcPr>
          <w:p>
            <w:pPr>
              <w:spacing w:before="40" w:after="40"/>
            </w:pPr>
            <w:r/>
            <w:r>
              <w:rPr>
                <w:b w:val="0"/>
                <w:i w:val="0"/>
                <w:sz w:val="17"/>
              </w:rPr>
              <w:t>At least 80 young people reached directly; group leaders</w:t>
            </w:r>
          </w:p>
        </w:tc>
      </w:tr>
      <w:tr>
        <w:tc>
          <w:tcPr>
            <w:tcW w:type="dxa" w:w="1814"/>
          </w:tcPr>
          <w:p>
            <w:pPr>
              <w:spacing w:before="40" w:after="40"/>
            </w:pPr>
            <w:r/>
            <w:r>
              <w:rPr>
                <w:b w:val="0"/>
                <w:i w:val="0"/>
                <w:sz w:val="17"/>
              </w:rPr>
              <w:t>Communities of the territory</w:t>
            </w:r>
          </w:p>
        </w:tc>
        <w:tc>
          <w:tcPr>
            <w:tcW w:type="dxa" w:w="2381"/>
          </w:tcPr>
          <w:p>
            <w:pPr>
              <w:spacing w:before="40" w:after="40"/>
            </w:pPr>
            <w:r/>
            <w:r>
              <w:rPr>
                <w:b w:val="0"/>
                <w:i w:val="0"/>
                <w:sz w:val="17"/>
              </w:rPr>
              <w:t>The 14 partner municipalities; the community events the organisation runs annually; local press</w:t>
            </w:r>
          </w:p>
        </w:tc>
        <w:tc>
          <w:tcPr>
            <w:tcW w:type="dxa" w:w="2381"/>
          </w:tcPr>
          <w:p>
            <w:pPr>
              <w:spacing w:before="40" w:after="40"/>
            </w:pPr>
            <w:r/>
            <w:r>
              <w:rPr>
                <w:b w:val="0"/>
                <w:i w:val="0"/>
                <w:sz w:val="17"/>
              </w:rPr>
              <w:t>The Day 7 public presentation; a “Digital Detectives” stand at two community events</w:t>
            </w:r>
          </w:p>
        </w:tc>
        <w:tc>
          <w:tcPr>
            <w:tcW w:type="dxa" w:w="2835"/>
          </w:tcPr>
          <w:p>
            <w:pPr>
              <w:spacing w:before="40" w:after="40"/>
            </w:pPr>
            <w:r/>
            <w:r>
              <w:rPr>
                <w:b w:val="0"/>
                <w:i w:val="0"/>
                <w:sz w:val="17"/>
              </w:rPr>
              <w:t>At least 2 community events and 3 items in local press; communication officer</w:t>
            </w:r>
          </w:p>
        </w:tc>
      </w:tr>
      <w:tr>
        <w:tc>
          <w:tcPr>
            <w:tcW w:type="dxa" w:w="1814"/>
          </w:tcPr>
          <w:p>
            <w:pPr>
              <w:spacing w:before="40" w:after="40"/>
            </w:pPr>
            <w:r/>
            <w:r>
              <w:rPr>
                <w:b w:val="0"/>
                <w:i w:val="0"/>
                <w:sz w:val="17"/>
              </w:rPr>
              <w:t>Parents and legal guardians of the participants</w:t>
            </w:r>
          </w:p>
        </w:tc>
        <w:tc>
          <w:tcPr>
            <w:tcW w:type="dxa" w:w="2381"/>
          </w:tcPr>
          <w:p>
            <w:pPr>
              <w:spacing w:before="40" w:after="40"/>
            </w:pPr>
            <w:r/>
            <w:r>
              <w:rPr>
                <w:b w:val="0"/>
                <w:i w:val="0"/>
                <w:sz w:val="17"/>
              </w:rPr>
              <w:t>The parents’ meetings in each country; the participant pack; the local initiatives and the Day 7 presentation</w:t>
            </w:r>
          </w:p>
        </w:tc>
        <w:tc>
          <w:tcPr>
            <w:tcW w:type="dxa" w:w="2381"/>
          </w:tcPr>
          <w:p>
            <w:pPr>
              <w:spacing w:before="40" w:after="40"/>
            </w:pPr>
            <w:r/>
            <w:r>
              <w:rPr>
                <w:b w:val="0"/>
                <w:i w:val="0"/>
                <w:sz w:val="17"/>
              </w:rPr>
              <w:t>Information on the programme, the supervision arrangements and the contact chain; presentations by the participants themselves</w:t>
            </w:r>
          </w:p>
        </w:tc>
        <w:tc>
          <w:tcPr>
            <w:tcW w:type="dxa" w:w="2835"/>
          </w:tcPr>
          <w:p>
            <w:pPr>
              <w:spacing w:before="40" w:after="40"/>
            </w:pPr>
            <w:r/>
            <w:r>
              <w:rPr>
                <w:b w:val="0"/>
                <w:i w:val="0"/>
                <w:sz w:val="17"/>
              </w:rPr>
              <w:t>One meeting per country before consents are signed; 100% of families reached with the pack; group leaders. Parents are involved in informing, supporting and protecting participants who are minors — they are not a target group of the project</w:t>
            </w:r>
          </w:p>
        </w:tc>
      </w:tr>
      <w:tr>
        <w:tc>
          <w:tcPr>
            <w:tcW w:type="dxa" w:w="1814"/>
          </w:tcPr>
          <w:p>
            <w:pPr>
              <w:spacing w:before="40" w:after="40"/>
            </w:pPr>
            <w:r/>
            <w:r>
              <w:rPr>
                <w:b w:val="0"/>
                <w:i w:val="0"/>
                <w:sz w:val="17"/>
              </w:rPr>
              <w:t>Youth organisations and youth workers in Europe</w:t>
            </w:r>
          </w:p>
        </w:tc>
        <w:tc>
          <w:tcPr>
            <w:tcW w:type="dxa" w:w="2381"/>
          </w:tcPr>
          <w:p>
            <w:pPr>
              <w:spacing w:before="40" w:after="40"/>
            </w:pPr>
            <w:r/>
            <w:r>
              <w:rPr>
                <w:b w:val="0"/>
                <w:i w:val="0"/>
                <w:sz w:val="17"/>
              </w:rPr>
              <w:t>Erasmus+ Project Results Platform; the partners’ networks; KEA’s regional media network, website and newsletter; GGD’s volunteer network; LEADER and ELARD</w:t>
            </w:r>
          </w:p>
        </w:tc>
        <w:tc>
          <w:tcPr>
            <w:tcW w:type="dxa" w:w="2381"/>
          </w:tcPr>
          <w:p>
            <w:pPr>
              <w:spacing w:before="40" w:after="40"/>
            </w:pPr>
            <w:r/>
            <w:r>
              <w:rPr>
                <w:b w:val="0"/>
                <w:i w:val="0"/>
                <w:sz w:val="17"/>
              </w:rPr>
              <w:t>The “Digital Detectives” toolkit</w:t>
            </w:r>
          </w:p>
        </w:tc>
        <w:tc>
          <w:tcPr>
            <w:tcW w:type="dxa" w:w="2835"/>
          </w:tcPr>
          <w:p>
            <w:pPr>
              <w:spacing w:before="40" w:after="40"/>
            </w:pPr>
            <w:r/>
            <w:r>
              <w:rPr>
                <w:b w:val="0"/>
                <w:i w:val="0"/>
                <w:sz w:val="17"/>
              </w:rPr>
              <w:t>Toolkit published and freely downloadable; at least 4 external organisations confirm use</w:t>
            </w:r>
          </w:p>
        </w:tc>
      </w:tr>
      <w:tr>
        <w:tc>
          <w:tcPr>
            <w:tcW w:type="dxa" w:w="1814"/>
          </w:tcPr>
          <w:p>
            <w:pPr>
              <w:spacing w:before="40" w:after="40"/>
            </w:pPr>
            <w:r/>
            <w:r>
              <w:rPr>
                <w:b w:val="0"/>
                <w:i w:val="0"/>
                <w:sz w:val="17"/>
              </w:rPr>
              <w:t>Local institutions and decision-makers</w:t>
            </w:r>
          </w:p>
        </w:tc>
        <w:tc>
          <w:tcPr>
            <w:tcW w:type="dxa" w:w="2381"/>
          </w:tcPr>
          <w:p>
            <w:pPr>
              <w:spacing w:before="40" w:after="40"/>
            </w:pPr>
            <w:r/>
            <w:r>
              <w:rPr>
                <w:b w:val="0"/>
                <w:i w:val="0"/>
                <w:sz w:val="17"/>
              </w:rPr>
              <w:t>Direct meetings; presentations in local councils</w:t>
            </w:r>
          </w:p>
        </w:tc>
        <w:tc>
          <w:tcPr>
            <w:tcW w:type="dxa" w:w="2381"/>
          </w:tcPr>
          <w:p>
            <w:pPr>
              <w:spacing w:before="40" w:after="40"/>
            </w:pPr>
            <w:r/>
            <w:r>
              <w:rPr>
                <w:b w:val="0"/>
                <w:i w:val="0"/>
                <w:sz w:val="17"/>
              </w:rPr>
              <w:t>Evaluation report; short recommendations</w:t>
            </w:r>
          </w:p>
        </w:tc>
        <w:tc>
          <w:tcPr>
            <w:tcW w:type="dxa" w:w="2835"/>
          </w:tcPr>
          <w:p>
            <w:pPr>
              <w:spacing w:before="40" w:after="40"/>
            </w:pPr>
            <w:r/>
            <w:r>
              <w:rPr>
                <w:b w:val="0"/>
                <w:i w:val="0"/>
                <w:sz w:val="17"/>
              </w:rPr>
              <w:t>At least 4 institutions informed; project manager</w:t>
            </w:r>
          </w:p>
        </w:tc>
      </w:tr>
    </w:tbl>
    <w:p>
      <w:pPr>
        <w:spacing w:after="0"/>
      </w:pPr>
    </w:p>
    <w:p>
      <w:pPr>
        <w:jc w:val="both"/>
      </w:pPr>
      <w:r>
        <w:rPr>
          <w:b w:val="0"/>
          <w:i w:val="0"/>
        </w:rPr>
        <w:t>All materials produced — toolkit, media products, presentations, press releases — carry the European Union emblem and the funding statement in line with the Programme’s rules, and on Day 1 participants have a short session on what Erasmus+ is and what stays open to them afterwards, from the European Solidarity Corps to DiscoverEU and other exchanges, so that this project is not the end of their contact with the Programme.</w:t>
      </w:r>
    </w:p>
    <w:p>
      <w:pPr>
        <w:jc w:val="both"/>
      </w:pPr>
      <w:r>
        <w:rPr>
          <w:b w:val="0"/>
          <w:i w:val="0"/>
        </w:rPr>
        <w:t>Because all participants are minors, every piece of content goes through a two-step review before publication: the participant responsible for documentation prepares it, and the safeguarding focal point approves it. No identifiable image of a minor is published without written consent, no personal data of third parties appears, and no location details for minors are given. That rule is written into the group agreement on Day 1, and it is itself part of the learning.</w:t>
      </w:r>
    </w:p>
    <w:p>
      <w:pPr>
        <w:spacing w:after="200"/>
      </w:pPr>
      <w:r>
        <w:rPr>
          <w:b w:val="0"/>
          <w:i/>
          <w:color w:val="5A5A5A"/>
          <w:sz w:val="16"/>
        </w:rPr>
        <w:t>≈ 2,510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Participants are the producers of the disseminated results, not their subject. They make the four media products; they design and lead the four local initiatives; they present publicly on Day 7 to guests from the community, the municipalities and the press; they co-present the results across the localities of the territory in months 16–17; and defined documentation roles — photo and video, activity diary, contact with the host community — are assigned in month 3 and held throughout. A fifteen-year-old explaining to a room of other young people how to check whether a photograph is what it claims to be is a more effective dissemination instrument than any press release the organisation could write — and it is also the moment the learning stops being ours and becomes theirs.</w:t>
      </w:r>
    </w:p>
    <w:p>
      <w:pPr>
        <w:spacing w:after="200"/>
      </w:pPr>
      <w:r>
        <w:rPr>
          <w:b w:val="0"/>
          <w:i/>
          <w:color w:val="5A5A5A"/>
          <w:sz w:val="16"/>
        </w:rPr>
        <w:t>≈ 783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20 participants aged 14–17, three groups from three countries (7 + 7 + 6),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