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480"/>
        <w:jc w:val="center"/>
      </w:pPr>
      <w:r>
        <w:rPr>
          <w:b/>
          <w:i w:val="0"/>
          <w:sz w:val="28"/>
        </w:rPr>
        <w:t>Raportul de progres nr. 1 (iulie – septembrie 2026) – texte pentru MySMIS2021</w:t>
      </w:r>
    </w:p>
    <w:p>
      <w:pPr>
        <w:spacing w:after="80" w:before="0"/>
        <w:jc w:val="center"/>
      </w:pPr>
      <w:r>
        <w:rPr>
          <w:b w:val="0"/>
          <w:i w:val="0"/>
          <w:sz w:val="22"/>
        </w:rPr>
        <w:t>receptii, principii orizontale</w:t>
      </w:r>
    </w:p>
    <w:p>
      <w:pPr>
        <w:spacing w:after="280" w:before="0"/>
        <w:jc w:val="center"/>
      </w:pPr>
      <w:r>
        <w:rPr>
          <w:b w:val="0"/>
          <w:i w:val="0"/>
          <w:sz w:val="20"/>
        </w:rPr>
        <w:t>Proiect UNIC – „Uniți pentru Nevoile Incluzive și Continuitatea Educației Elevilor”, cod SMIS 352704 | versiunea din 14.10.2026</w:t>
      </w:r>
    </w:p>
    <w:p>
      <w:pPr>
        <w:spacing w:after="200" w:before="0"/>
        <w:jc w:val="both"/>
      </w:pPr>
      <w:r>
        <w:rPr>
          <w:b w:val="0"/>
          <w:i/>
          <w:sz w:val="20"/>
        </w:rPr>
        <w:t xml:space="preserve">Câmpurile sunt în ordinea din MySMIS2021; limitele: 3.500 de caractere pentru „Rezultat obținut” și 10.500 pentru celelalte câmpuri. Numărul de caractere este indicat sub fiecare titlu. Marcajele galbene </w:t>
      </w:r>
      <w:r>
        <w:rPr>
          <w:b w:val="0"/>
          <w:i/>
          <w:sz w:val="20"/>
          <w:highlight w:val="yellow"/>
        </w:rPr>
        <w:t>«…»</w:t>
      </w:r>
      <w:r>
        <w:rPr>
          <w:b w:val="0"/>
          <w:i/>
          <w:sz w:val="20"/>
        </w:rPr>
        <w:t xml:space="preserve"> sunt completări de făcut înainte de transmitere; textele se copiază în MySMIS fără formatare.</w:t>
      </w:r>
    </w:p>
    <w:p>
      <w:pPr>
        <w:spacing w:after="40" w:before="200"/>
      </w:pPr>
      <w:r>
        <w:rPr>
          <w:b/>
          <w:i w:val="0"/>
          <w:sz w:val="24"/>
        </w:rPr>
        <w:t>9.1 Avize, acorduri, autorizații, recepții și execuție contracte de achiziție</w:t>
      </w:r>
    </w:p>
    <w:p>
      <w:pPr>
        <w:spacing w:after="80" w:before="0"/>
      </w:pPr>
      <w:r>
        <w:rPr>
          <w:b w:val="0"/>
          <w:i/>
          <w:color w:val="595959"/>
          <w:sz w:val="18"/>
        </w:rPr>
        <w:t>5.163 / 10.500 caractere</w:t>
      </w:r>
    </w:p>
    <w:p>
      <w:pPr>
        <w:spacing w:after="80" w:before="0"/>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spacing w:after="80" w:before="0"/>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spacing w:after="80" w:before="0"/>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spacing w:after="80" w:before="0"/>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spacing w:after="80" w:before="0"/>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spacing w:after="80" w:before="0"/>
        <w:jc w:val="both"/>
      </w:pPr>
      <w:r>
        <w:rPr>
          <w:b w:val="0"/>
          <w:i w:val="0"/>
        </w:rPr>
        <w:t>Procedurile pentru serviciile de organizare a târgului de oportunități și pentru serviciile de masă caldă nu au fost demarate în perioada de raportare (detalii în secțiunea 7).</w:t>
      </w:r>
    </w:p>
    <w:p>
      <w:pPr>
        <w:spacing w:after="40" w:before="200"/>
      </w:pPr>
      <w:r>
        <w:rPr>
          <w:b/>
          <w:i w:val="0"/>
          <w:sz w:val="24"/>
        </w:rPr>
        <w:t>9.2 Dificultăți întâmpinate și întârzieri</w:t>
      </w:r>
    </w:p>
    <w:p>
      <w:pPr>
        <w:spacing w:after="80" w:before="0"/>
      </w:pPr>
      <w:r>
        <w:rPr>
          <w:b w:val="0"/>
          <w:i/>
          <w:color w:val="595959"/>
          <w:sz w:val="18"/>
        </w:rPr>
        <w:t>631 / 10.500 caractere</w:t>
      </w:r>
    </w:p>
    <w:p>
      <w:pPr>
        <w:spacing w:after="80" w:before="0"/>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r>
        <w:br w:type="page"/>
      </w:r>
    </w:p>
    <w:p>
      <w:pPr>
        <w:spacing w:after="40" w:before="200"/>
      </w:pPr>
      <w:r>
        <w:rPr>
          <w:b/>
          <w:i w:val="0"/>
          <w:sz w:val="24"/>
        </w:rPr>
        <w:t>15.1.1 Egalitate de gen</w:t>
      </w:r>
    </w:p>
    <w:p>
      <w:pPr>
        <w:spacing w:after="80" w:before="0"/>
      </w:pPr>
      <w:r>
        <w:rPr>
          <w:b w:val="0"/>
          <w:i/>
          <w:color w:val="595959"/>
          <w:sz w:val="18"/>
        </w:rPr>
        <w:t>2.662 / 10.500 caractere</w:t>
      </w:r>
    </w:p>
    <w:p>
      <w:pPr>
        <w:spacing w:after="80" w:before="0"/>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80" w:before="0"/>
        <w:jc w:val="both"/>
      </w:pPr>
      <w:r>
        <w:rPr>
          <w:b w:val="0"/>
          <w:i w:val="0"/>
        </w:rPr>
        <w:t xml:space="preserve">• 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80" w:before="0"/>
        <w:jc w:val="both"/>
      </w:pPr>
      <w:r>
        <w:rPr>
          <w:b w:val="0"/>
          <w:i w:val="0"/>
        </w:rPr>
        <w:t xml:space="preserve">• 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97 de elevi intrați în operațiune, </w:t>
      </w:r>
      <w:r>
        <w:rPr>
          <w:b w:val="0"/>
          <w:i w:val="0"/>
          <w:highlight w:val="yellow"/>
        </w:rPr>
        <w:t>«38»</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80" w:before="0"/>
        <w:jc w:val="both"/>
      </w:pPr>
      <w:r>
        <w:rPr>
          <w:b w:val="0"/>
          <w:i w:val="0"/>
        </w:rPr>
        <w:t>• 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80" w:before="0"/>
        <w:jc w:val="both"/>
      </w:pPr>
      <w:r>
        <w:rPr>
          <w:b w:val="0"/>
          <w:i w:val="0"/>
        </w:rPr>
        <w:t xml:space="preserve">• 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spacing w:after="80" w:before="0"/>
        <w:jc w:val="both"/>
      </w:pPr>
      <w:r>
        <w:rPr>
          <w:b w:val="0"/>
          <w:i w:val="0"/>
        </w:rPr>
        <w:t>În perioada de raportare nu au fost semnalate situații de tratament diferențiat pe criterii de sex sau gen.</w:t>
      </w:r>
    </w:p>
    <w:p>
      <w:pPr>
        <w:spacing w:after="40" w:before="200"/>
      </w:pPr>
      <w:r>
        <w:rPr>
          <w:b/>
          <w:i w:val="0"/>
          <w:sz w:val="24"/>
        </w:rPr>
        <w:t>15.1.2 Nediscriminare</w:t>
      </w:r>
    </w:p>
    <w:p>
      <w:pPr>
        <w:spacing w:after="80" w:before="0"/>
      </w:pPr>
      <w:r>
        <w:rPr>
          <w:b w:val="0"/>
          <w:i/>
          <w:color w:val="595959"/>
          <w:sz w:val="18"/>
        </w:rPr>
        <w:t>3.084 / 10.500 caractere</w:t>
      </w:r>
    </w:p>
    <w:p>
      <w:pPr>
        <w:spacing w:after="80" w:before="0"/>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80" w:before="0"/>
        <w:jc w:val="both"/>
      </w:pPr>
      <w:r>
        <w:rPr>
          <w:b w:val="0"/>
          <w:i w:val="0"/>
        </w:rPr>
        <w:t>• 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80" w:before="0"/>
        <w:jc w:val="both"/>
      </w:pPr>
      <w:r>
        <w:rPr>
          <w:b w:val="0"/>
          <w:i w:val="0"/>
        </w:rPr>
        <w:t xml:space="preserve">• 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97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80" w:before="0"/>
        <w:jc w:val="both"/>
      </w:pPr>
      <w:r>
        <w:rPr>
          <w:b w:val="0"/>
          <w:i w:val="0"/>
        </w:rPr>
        <w:t xml:space="preserve">• 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80" w:before="0"/>
        <w:jc w:val="both"/>
      </w:pPr>
      <w:r>
        <w:rPr>
          <w:b w:val="0"/>
          <w:i w:val="0"/>
        </w:rPr>
        <w:t>• 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80" w:before="0"/>
        <w:jc w:val="both"/>
      </w:pPr>
      <w:r>
        <w:rPr>
          <w:b w:val="0"/>
          <w:i w:val="0"/>
        </w:rPr>
        <w:t xml:space="preserve">• 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spacing w:after="80" w:before="0"/>
        <w:jc w:val="both"/>
      </w:pPr>
      <w:r>
        <w:rPr>
          <w:b w:val="0"/>
          <w:i w:val="0"/>
        </w:rPr>
        <w:t>În perioada de raportare nu au fost semnalate situații de excludere, restricționare a accesului sau tratament diferențiat pe criterii discriminatorii.</w:t>
      </w:r>
    </w:p>
    <w:p>
      <w:pPr>
        <w:spacing w:after="40" w:before="200"/>
      </w:pPr>
      <w:r>
        <w:rPr>
          <w:b/>
          <w:i w:val="0"/>
          <w:sz w:val="24"/>
        </w:rPr>
        <w:t>15.1.3 Accesibilitatea pentru persoanele cu dizabilități</w:t>
      </w:r>
    </w:p>
    <w:p>
      <w:pPr>
        <w:spacing w:after="80" w:before="0"/>
      </w:pPr>
      <w:r>
        <w:rPr>
          <w:b w:val="0"/>
          <w:i/>
          <w:color w:val="595959"/>
          <w:sz w:val="18"/>
        </w:rPr>
        <w:t>2.058 / 10.500 caractere</w:t>
      </w:r>
    </w:p>
    <w:p>
      <w:pPr>
        <w:spacing w:after="80" w:before="0"/>
        <w:jc w:val="both"/>
      </w:pPr>
      <w:r>
        <w:rPr>
          <w:b w:val="0"/>
          <w:i w:val="0"/>
        </w:rPr>
        <w:t>În perioada de raportare iulie – septembrie 2026, accesibilitatea a fost asigurată conform angajamentelor din cererea de finanțare:</w:t>
      </w:r>
    </w:p>
    <w:p>
      <w:pPr>
        <w:spacing w:after="80" w:before="0"/>
        <w:jc w:val="both"/>
      </w:pPr>
      <w:r>
        <w:rPr>
          <w:b w:val="0"/>
          <w:i w:val="0"/>
        </w:rPr>
        <w:t>• 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80" w:before="0"/>
        <w:jc w:val="both"/>
      </w:pPr>
      <w:r>
        <w:rPr>
          <w:b w:val="0"/>
          <w:i w:val="0"/>
        </w:rPr>
        <w:t>• acolo unde a fost posibil, activitățile s-au derulat online, pentru eliminarea barierelor de acces: formarea cadrelor didactice integral online, două dintre cele cinci întâlniri de management prin platforma Zoom;</w:t>
      </w:r>
    </w:p>
    <w:p>
      <w:pPr>
        <w:spacing w:after="80" w:before="0"/>
        <w:jc w:val="both"/>
      </w:pPr>
      <w:r>
        <w:rPr>
          <w:b w:val="0"/>
          <w:i w:val="0"/>
        </w:rPr>
        <w:t xml:space="preserve">• 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80" w:before="0"/>
        <w:jc w:val="both"/>
      </w:pPr>
      <w:r>
        <w:rPr>
          <w:b w:val="0"/>
          <w:i w:val="0"/>
        </w:rPr>
        <w:t>• 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80" w:before="0"/>
        <w:jc w:val="both"/>
      </w:pPr>
      <w:r>
        <w:rPr>
          <w:b w:val="0"/>
          <w:i w:val="0"/>
        </w:rPr>
        <w:t xml:space="preserve">• 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spacing w:after="80" w:before="0"/>
        <w:jc w:val="both"/>
      </w:pPr>
      <w:r>
        <w:rPr>
          <w:b w:val="0"/>
          <w:i w:val="0"/>
        </w:rPr>
        <w:t>Nu au fost semnalate situații în care accesul la activități să fi fost limitat.</w:t>
      </w:r>
    </w:p>
    <w:p>
      <w:pPr>
        <w:spacing w:after="40" w:before="200"/>
      </w:pPr>
      <w:r>
        <w:rPr>
          <w:b/>
          <w:i w:val="0"/>
          <w:sz w:val="24"/>
        </w:rPr>
        <w:t>15.1.4 Schimbări demografice</w:t>
      </w:r>
    </w:p>
    <w:p>
      <w:pPr>
        <w:spacing w:after="80" w:before="0"/>
      </w:pPr>
      <w:r>
        <w:rPr>
          <w:b w:val="0"/>
          <w:i/>
          <w:color w:val="595959"/>
          <w:sz w:val="18"/>
        </w:rPr>
        <w:t>555 / 10.500 caractere</w:t>
      </w:r>
    </w:p>
    <w:p>
      <w:pPr>
        <w:spacing w:after="80" w:before="0"/>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40" w:before="200"/>
      </w:pPr>
      <w:r>
        <w:rPr>
          <w:b/>
          <w:i w:val="0"/>
          <w:sz w:val="24"/>
        </w:rPr>
        <w:t>15.2.1 Poluatorul plătește</w:t>
      </w:r>
    </w:p>
    <w:p>
      <w:pPr>
        <w:spacing w:after="80" w:before="0"/>
      </w:pPr>
      <w:r>
        <w:rPr>
          <w:b w:val="0"/>
          <w:i/>
          <w:color w:val="595959"/>
          <w:sz w:val="18"/>
        </w:rPr>
        <w:t>497 / 10.500 caractere</w:t>
      </w:r>
    </w:p>
    <w:p>
      <w:pPr>
        <w:spacing w:after="80" w:before="0"/>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40" w:before="200"/>
      </w:pPr>
      <w:r>
        <w:rPr>
          <w:b/>
          <w:i w:val="0"/>
          <w:sz w:val="24"/>
        </w:rPr>
        <w:t>15.2.2 Protecția biodiversității</w:t>
      </w:r>
    </w:p>
    <w:p>
      <w:pPr>
        <w:spacing w:after="80" w:before="0"/>
      </w:pPr>
      <w:r>
        <w:rPr>
          <w:b w:val="0"/>
          <w:i/>
          <w:color w:val="595959"/>
          <w:sz w:val="18"/>
        </w:rPr>
        <w:t>373 / 10.500 caractere</w:t>
      </w:r>
    </w:p>
    <w:p>
      <w:pPr>
        <w:spacing w:after="80" w:before="0"/>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40" w:before="200"/>
      </w:pPr>
      <w:r>
        <w:rPr>
          <w:b/>
          <w:i w:val="0"/>
          <w:sz w:val="24"/>
        </w:rPr>
        <w:t>15.2.3 Utilizarea eficientă a resurselor</w:t>
      </w:r>
    </w:p>
    <w:p>
      <w:pPr>
        <w:spacing w:after="80" w:before="0"/>
      </w:pPr>
      <w:r>
        <w:rPr>
          <w:b w:val="0"/>
          <w:i/>
          <w:color w:val="595959"/>
          <w:sz w:val="18"/>
        </w:rPr>
        <w:t>1.126 / 10.500 caractere</w:t>
      </w:r>
    </w:p>
    <w:p>
      <w:pPr>
        <w:spacing w:after="80" w:before="0"/>
        <w:jc w:val="both"/>
      </w:pPr>
      <w:r>
        <w:rPr>
          <w:b w:val="0"/>
          <w:i w:val="0"/>
        </w:rPr>
        <w:t>În perioada de raportare iulie – septembrie 2026, măsurile asumate în cererea de finanțare au fost aplicate astfel:</w:t>
      </w:r>
    </w:p>
    <w:p>
      <w:pPr>
        <w:spacing w:after="80" w:before="0"/>
        <w:jc w:val="both"/>
      </w:pPr>
      <w:r>
        <w:rPr>
          <w:b w:val="0"/>
          <w:i w:val="0"/>
        </w:rPr>
        <w:t>• 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80" w:before="0"/>
        <w:jc w:val="both"/>
      </w:pPr>
      <w:r>
        <w:rPr>
          <w:b w:val="0"/>
          <w:i w:val="0"/>
        </w:rPr>
        <w:t>• 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80" w:before="0"/>
        <w:jc w:val="both"/>
      </w:pPr>
      <w:r>
        <w:rPr>
          <w:b w:val="0"/>
          <w:i w:val="0"/>
        </w:rPr>
        <w:t xml:space="preserve">• 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80" w:before="0"/>
        <w:jc w:val="both"/>
      </w:pPr>
      <w:r>
        <w:rPr>
          <w:b w:val="0"/>
          <w:i w:val="0"/>
        </w:rPr>
        <w:t xml:space="preserve">• </w:t>
      </w:r>
      <w:r>
        <w:rPr>
          <w:b w:val="0"/>
          <w:i w:val="0"/>
          <w:highlight w:val="yellow"/>
        </w:rPr>
        <w:t>«economizorul de apă temporizat pentru robinete a fost instalat / urmează să fie instalat la sediul de implementare»</w:t>
      </w:r>
      <w:r>
        <w:rPr>
          <w:b w:val="0"/>
          <w:i w:val="0"/>
        </w:rPr>
        <w:t>.</w:t>
      </w:r>
    </w:p>
    <w:p>
      <w:pPr>
        <w:spacing w:after="40" w:before="200"/>
      </w:pPr>
      <w:r>
        <w:rPr>
          <w:b/>
          <w:i w:val="0"/>
          <w:sz w:val="24"/>
        </w:rPr>
        <w:t>15.2.4 Reziliența la dezastre</w:t>
      </w:r>
    </w:p>
    <w:p>
      <w:pPr>
        <w:spacing w:after="80" w:before="0"/>
      </w:pPr>
      <w:r>
        <w:rPr>
          <w:b w:val="0"/>
          <w:i/>
          <w:color w:val="595959"/>
          <w:sz w:val="18"/>
        </w:rPr>
        <w:t>311 / 10.500 caractere</w:t>
      </w:r>
    </w:p>
    <w:p>
      <w:pPr>
        <w:spacing w:after="80" w:before="0"/>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40" w:before="200"/>
      </w:pPr>
      <w:r>
        <w:rPr>
          <w:b/>
          <w:i w:val="0"/>
          <w:sz w:val="24"/>
        </w:rPr>
        <w:t>15.2.5 Imunizarea la schimbările climatice</w:t>
      </w:r>
    </w:p>
    <w:p>
      <w:pPr>
        <w:spacing w:after="80" w:before="0"/>
      </w:pPr>
      <w:r>
        <w:rPr>
          <w:b w:val="0"/>
          <w:i/>
          <w:color w:val="595959"/>
          <w:sz w:val="18"/>
        </w:rPr>
        <w:t>1.181 / 10.500 caractere</w:t>
      </w:r>
    </w:p>
    <w:p>
      <w:pPr>
        <w:spacing w:after="80" w:before="0"/>
        <w:jc w:val="both"/>
      </w:pPr>
      <w:r>
        <w:rPr>
          <w:b w:val="0"/>
          <w:i w:val="0"/>
        </w:rPr>
        <w:t>În perioada de raportare iulie – septembrie 2026:</w:t>
      </w:r>
    </w:p>
    <w:p>
      <w:pPr>
        <w:spacing w:after="80" w:before="0"/>
        <w:jc w:val="both"/>
      </w:pPr>
      <w:r>
        <w:rPr>
          <w:b w:val="0"/>
          <w:i w:val="0"/>
        </w:rPr>
        <w:t>• 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80" w:before="0"/>
        <w:jc w:val="both"/>
      </w:pPr>
      <w:r>
        <w:rPr>
          <w:b w:val="0"/>
          <w:i w:val="0"/>
        </w:rPr>
        <w:t>• 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80" w:before="0"/>
        <w:jc w:val="both"/>
      </w:pPr>
      <w:r>
        <w:rPr>
          <w:b w:val="0"/>
          <w:i w:val="0"/>
        </w:rPr>
        <w:t xml:space="preserve">• 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40" w:before="200"/>
      </w:pPr>
      <w:r>
        <w:rPr>
          <w:b/>
          <w:i w:val="0"/>
          <w:sz w:val="24"/>
        </w:rPr>
        <w:t>15.2.6 Principiul „de a nu prejudicia în mod semnificativ” (DNSH)</w:t>
      </w:r>
    </w:p>
    <w:p>
      <w:pPr>
        <w:spacing w:after="80" w:before="0"/>
      </w:pPr>
      <w:r>
        <w:rPr>
          <w:b w:val="0"/>
          <w:i/>
          <w:color w:val="595959"/>
          <w:sz w:val="18"/>
        </w:rPr>
        <w:t>1.797 / 10.500 caractere</w:t>
      </w:r>
    </w:p>
    <w:p>
      <w:pPr>
        <w:spacing w:after="80" w:before="0"/>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80" w:before="0"/>
        <w:jc w:val="both"/>
      </w:pPr>
      <w:r>
        <w:rPr>
          <w:b w:val="0"/>
          <w:i w:val="0"/>
        </w:rPr>
        <w:t xml:space="preserve">• 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80" w:before="0"/>
        <w:jc w:val="both"/>
      </w:pPr>
      <w:r>
        <w:rPr>
          <w:b w:val="0"/>
          <w:i w:val="0"/>
        </w:rPr>
        <w:t>• 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80" w:before="0"/>
        <w:jc w:val="both"/>
      </w:pPr>
      <w:r>
        <w:rPr>
          <w:b w:val="0"/>
          <w:i w:val="0"/>
        </w:rPr>
        <w:t>• evitarea reuniunilor suplimentare cu deplasare: aspectele curente au fost clarificate online sau telefonic, iar două dintre cele cinci întâlniri de management s-au desfășurat pe Zoom;</w:t>
      </w:r>
    </w:p>
    <w:p>
      <w:pPr>
        <w:spacing w:after="80" w:before="0"/>
        <w:jc w:val="both"/>
      </w:pPr>
      <w:r>
        <w:rPr>
          <w:b w:val="0"/>
          <w:i w:val="0"/>
        </w:rPr>
        <w:t xml:space="preserve">• 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80" w:before="0"/>
        <w:jc w:val="both"/>
      </w:pPr>
      <w:r>
        <w:rPr>
          <w:b w:val="0"/>
          <w:i w:val="0"/>
        </w:rPr>
        <w:t xml:space="preserve">• 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40" w:before="200"/>
      </w:pPr>
      <w:r>
        <w:rPr>
          <w:b/>
          <w:i w:val="0"/>
          <w:sz w:val="24"/>
        </w:rPr>
        <w:t>15.2.7 Măsuri de evitare și reducere a efectelor reziduale</w:t>
      </w:r>
    </w:p>
    <w:p>
      <w:pPr>
        <w:spacing w:after="80" w:before="0"/>
      </w:pPr>
      <w:r>
        <w:rPr>
          <w:b w:val="0"/>
          <w:i/>
          <w:color w:val="595959"/>
          <w:sz w:val="18"/>
        </w:rPr>
        <w:t>130 / 10.500 caractere</w:t>
      </w:r>
    </w:p>
    <w:p>
      <w:pPr>
        <w:spacing w:after="80" w:before="0"/>
        <w:jc w:val="both"/>
      </w:pPr>
      <w:r>
        <w:rPr>
          <w:b w:val="0"/>
          <w:i w:val="0"/>
        </w:rPr>
        <w:t>Nu este cazul pentru tipul de activități desfășurate în perioada de raportare, care nu generează efecte reziduale asupra mediului.</w:t>
      </w:r>
    </w:p>
    <w:p>
      <w:pPr>
        <w:spacing w:after="40" w:before="200"/>
      </w:pPr>
      <w:r>
        <w:rPr>
          <w:b/>
          <w:i w:val="0"/>
          <w:sz w:val="24"/>
        </w:rPr>
        <w:t>15.2.8 Teme secundare</w:t>
      </w:r>
    </w:p>
    <w:p>
      <w:pPr>
        <w:spacing w:after="80" w:before="0"/>
      </w:pPr>
      <w:r>
        <w:rPr>
          <w:b w:val="0"/>
          <w:i/>
          <w:color w:val="595959"/>
          <w:sz w:val="18"/>
        </w:rPr>
        <w:t>2.230 / 10.500 caractere</w:t>
      </w:r>
    </w:p>
    <w:p>
      <w:pPr>
        <w:spacing w:after="80" w:before="0"/>
        <w:jc w:val="both"/>
      </w:pPr>
      <w:r>
        <w:rPr>
          <w:b w:val="0"/>
          <w:i w:val="0"/>
        </w:rPr>
        <w:t>În perioada de raportare iulie – septembrie 2026, proiectul a contribuit la cele două teme secundare FSE+ asumate în cererea de finanțare, în măsura în care activitățile cu grupul țintă au început în luna septembrie.</w:t>
      </w:r>
    </w:p>
    <w:p>
      <w:pPr>
        <w:spacing w:after="80" w:before="0"/>
        <w:jc w:val="both"/>
      </w:pPr>
      <w:r>
        <w:rPr>
          <w:b w:val="0"/>
          <w:i w:val="0"/>
        </w:rPr>
        <w:t>Pentru tema secundară 10, abordarea provocărilor identificate în cadrul semestrului european, proiectul răspunde recomandării privind reducerea părăsirii timpurii a școlii, în special în rândul elevilor din mediul rural și al elevilor romi. În această perioadă, Experții GT au identificat, împreună cu școlile partenere, 172 de elevi aflați în risc de abandon sau proveniți din medii defavorizate, dintre care 97 au intrat în operațiune și au început să beneficieze de măsurile proiectului: 17 elevi din clasele a X-a – a XI-a au participat la sprijinul psihologic, 35 de elevi din clasele a VII-a – a VIII-a la activitățile campaniei de informare și conștientizare și 45 de elevi din clasa a IX-a la programele remediale. În paralel, cele 4 cadre didactice din grupul țintă au parcurs programul de formare acreditat, astfel încât intervenția asupra abandonului școlar să fie susținută și din interiorul școlilor.</w:t>
      </w:r>
    </w:p>
    <w:p>
      <w:pPr>
        <w:spacing w:after="80" w:before="0"/>
        <w:jc w:val="both"/>
      </w:pPr>
      <w:r>
        <w:rPr>
          <w:b w:val="0"/>
          <w:i w:val="0"/>
        </w:rPr>
        <w:t>Pentru tema secundară 05, nediscriminarea, căreia îi este alocat un buget de 1.464.000,00 lei, contribuția din această perioadă a constat în modul în care a fost organizată selecția grupului țintă: metodologia publicată aplică criterii transparente și acordă prioritate elevilor de etnie romă și elevilor cu dizabilități, recrutarea a vizat elevi din grupuri vulnerabile și din localități mici, iar familiile cu dificultăți au fost sprijinite direct de experți pentru a nu rămâne în afara proiectului. Măsurile directe care dau conținut financiar acestei teme, sprijinul financiar pentru cazare, masă și transport și masa caldă pentru participanții la programele remediale, nu au generat cheltuieli în perioada de raportare, întrucât acordarea lor începe după validarea grupului țintă și, respectiv, după contractarea serviciilor de masă caldă, în perioada următoare.</w:t>
      </w:r>
    </w:p>
    <w:p>
      <w:pPr>
        <w:spacing w:after="80" w:before="0"/>
        <w:jc w:val="both"/>
      </w:pPr>
      <w:r>
        <w:rPr>
          <w:b w:val="0"/>
          <w:i w:val="0"/>
        </w:rPr>
        <w:t>Integrarea perspectivei de gen a fost asigurată prin modul în care consilierea și activitățile de informare au tratat alegerea traseului educațional și profesional, fără stereotipuri de gen, așa cum este detaliat la punctul 15.1.1.</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