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C332F"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b/>
          <w:bCs/>
          <w:color w:val="2D3B45"/>
          <w:kern w:val="0"/>
          <w:sz w:val="24"/>
          <w:szCs w:val="24"/>
        </w:rPr>
        <w:t>The Case:</w:t>
      </w:r>
      <w:r w:rsidRPr="00907502">
        <w:rPr>
          <w:rFonts w:ascii="Lato" w:eastAsia="宋体" w:hAnsi="Lato" w:cs="宋体"/>
          <w:color w:val="2D3B45"/>
          <w:kern w:val="0"/>
          <w:sz w:val="24"/>
          <w:szCs w:val="24"/>
        </w:rPr>
        <w:t> </w:t>
      </w:r>
    </w:p>
    <w:p w14:paraId="3CD45CA1" w14:textId="77777777" w:rsidR="00907502" w:rsidRPr="00907502" w:rsidRDefault="00907502" w:rsidP="00907502">
      <w:pPr>
        <w:widowControl/>
        <w:shd w:val="clear" w:color="auto" w:fill="FFFFFF"/>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In the provided file “</w:t>
      </w:r>
      <w:hyperlink r:id="rId7" w:tgtFrame="_blank" w:tooltip="Bank.csv" w:history="1">
        <w:r w:rsidRPr="00907502">
          <w:rPr>
            <w:rFonts w:ascii="Lato" w:eastAsia="宋体" w:hAnsi="Lato" w:cs="宋体"/>
            <w:color w:val="0000FF"/>
            <w:kern w:val="0"/>
            <w:sz w:val="24"/>
            <w:szCs w:val="24"/>
            <w:u w:val="single"/>
          </w:rPr>
          <w:t>Bank.csv</w:t>
        </w:r>
      </w:hyperlink>
      <w:hyperlink r:id="rId8" w:history="1">
        <w:r w:rsidRPr="00907502">
          <w:rPr>
            <w:rFonts w:ascii="Lato" w:eastAsia="宋体" w:hAnsi="Lato" w:cs="宋体"/>
            <w:color w:val="0000FF"/>
            <w:kern w:val="0"/>
            <w:sz w:val="24"/>
            <w:szCs w:val="24"/>
            <w:u w:val="single"/>
          </w:rPr>
          <w:t> </w:t>
        </w:r>
        <w:r w:rsidRPr="00907502">
          <w:rPr>
            <w:rFonts w:ascii="Lato" w:eastAsia="宋体" w:hAnsi="Lato" w:cs="宋体"/>
            <w:color w:val="0000FF"/>
            <w:kern w:val="0"/>
            <w:sz w:val="24"/>
            <w:szCs w:val="24"/>
            <w:bdr w:val="none" w:sz="0" w:space="0" w:color="auto" w:frame="1"/>
          </w:rPr>
          <w:t>Download Bank.csv</w:t>
        </w:r>
      </w:hyperlink>
      <w:r w:rsidRPr="00907502">
        <w:rPr>
          <w:rFonts w:ascii="Lato" w:eastAsia="宋体" w:hAnsi="Lato" w:cs="宋体"/>
          <w:color w:val="2D3B45"/>
          <w:kern w:val="0"/>
          <w:sz w:val="24"/>
          <w:szCs w:val="24"/>
        </w:rPr>
        <w:t xml:space="preserve">” we are presented with a sample of 4499 customers of a large Canadian bank that currently has a surplus of liability customers, i.e., depositors. The bank would like to grow their asset customer base, i.e., borrowers, through a targeted marketing campaign. Previous marketing efforts were able to garner a roughly 10% conversion rate, where a conversion </w:t>
      </w:r>
      <w:proofErr w:type="gramStart"/>
      <w:r w:rsidRPr="00907502">
        <w:rPr>
          <w:rFonts w:ascii="Lato" w:eastAsia="宋体" w:hAnsi="Lato" w:cs="宋体"/>
          <w:color w:val="2D3B45"/>
          <w:kern w:val="0"/>
          <w:sz w:val="24"/>
          <w:szCs w:val="24"/>
        </w:rPr>
        <w:t>was considered to be</w:t>
      </w:r>
      <w:proofErr w:type="gramEnd"/>
      <w:r w:rsidRPr="00907502">
        <w:rPr>
          <w:rFonts w:ascii="Lato" w:eastAsia="宋体" w:hAnsi="Lato" w:cs="宋体"/>
          <w:color w:val="2D3B45"/>
          <w:kern w:val="0"/>
          <w:sz w:val="24"/>
          <w:szCs w:val="24"/>
        </w:rPr>
        <w:t xml:space="preserve"> a sale of a personal loan product to an existing liability customer.  </w:t>
      </w:r>
    </w:p>
    <w:p w14:paraId="39F25C10"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From this campaign, which was held in Toronto, a data set was established and to be used to improve the efficiency of this year’s marketing campaign. This efficiency boost will stem from designing a segmentation strategy to identify clients that are most likely to convert on the personal loan, and then focus marketing on this group. </w:t>
      </w:r>
    </w:p>
    <w:p w14:paraId="21C2A7E8"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All sampled customers have a financial advisor/planner with this bank. The financial planners are mobile and can come to the customers if they wish so, however, listed in the data set are the branches that they most often serve. Financial advisors earn commission if they can advise customers to buy a personal loan product. </w:t>
      </w:r>
    </w:p>
    <w:p w14:paraId="43B03DCE"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 </w:t>
      </w:r>
    </w:p>
    <w:p w14:paraId="5B3FEF76"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b/>
          <w:bCs/>
          <w:color w:val="2D3B45"/>
          <w:kern w:val="0"/>
          <w:sz w:val="24"/>
          <w:szCs w:val="24"/>
        </w:rPr>
        <w:t>How to:</w:t>
      </w:r>
      <w:r w:rsidRPr="00907502">
        <w:rPr>
          <w:rFonts w:ascii="Lato" w:eastAsia="宋体" w:hAnsi="Lato" w:cs="宋体"/>
          <w:color w:val="2D3B45"/>
          <w:kern w:val="0"/>
          <w:sz w:val="24"/>
          <w:szCs w:val="24"/>
        </w:rPr>
        <w:t> </w:t>
      </w:r>
    </w:p>
    <w:p w14:paraId="3ED263B9"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Please work out of the provided </w:t>
      </w:r>
      <w:proofErr w:type="spellStart"/>
      <w:r w:rsidRPr="00907502">
        <w:rPr>
          <w:rFonts w:ascii="Lato" w:eastAsia="宋体" w:hAnsi="Lato" w:cs="宋体"/>
          <w:color w:val="2D3B45"/>
          <w:kern w:val="0"/>
          <w:sz w:val="24"/>
          <w:szCs w:val="24"/>
        </w:rPr>
        <w:t>jupyter</w:t>
      </w:r>
      <w:proofErr w:type="spellEnd"/>
      <w:r w:rsidRPr="00907502">
        <w:rPr>
          <w:rFonts w:ascii="Lato" w:eastAsia="宋体" w:hAnsi="Lato" w:cs="宋体"/>
          <w:color w:val="2D3B45"/>
          <w:kern w:val="0"/>
          <w:sz w:val="24"/>
          <w:szCs w:val="24"/>
        </w:rPr>
        <w:t xml:space="preserve"> notebook </w:t>
      </w:r>
      <w:hyperlink r:id="rId9" w:tgtFrame="_blank" w:tooltip="Capstone project.ipynb" w:history="1">
        <w:r w:rsidRPr="00907502">
          <w:rPr>
            <w:rFonts w:ascii="Lato" w:eastAsia="宋体" w:hAnsi="Lato" w:cs="宋体"/>
            <w:color w:val="0000FF"/>
            <w:kern w:val="0"/>
            <w:sz w:val="24"/>
            <w:szCs w:val="24"/>
            <w:u w:val="single"/>
          </w:rPr>
          <w:t>file</w:t>
        </w:r>
      </w:hyperlink>
      <w:r w:rsidRPr="00907502">
        <w:rPr>
          <w:rFonts w:ascii="Lato" w:eastAsia="宋体" w:hAnsi="Lato" w:cs="宋体"/>
          <w:color w:val="2D3B45"/>
          <w:kern w:val="0"/>
          <w:sz w:val="24"/>
          <w:szCs w:val="24"/>
        </w:rPr>
        <w:t> for this project. The items in the notebook are grouped into three sections:  </w:t>
      </w:r>
    </w:p>
    <w:p w14:paraId="28489297" w14:textId="77777777" w:rsidR="00907502" w:rsidRPr="00907502" w:rsidRDefault="00907502" w:rsidP="00907502">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Basic Data Cleaning </w:t>
      </w:r>
    </w:p>
    <w:p w14:paraId="032C714B" w14:textId="77777777" w:rsidR="00907502" w:rsidRPr="00907502" w:rsidRDefault="00907502" w:rsidP="00907502">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Visual Data Exploration</w:t>
      </w:r>
    </w:p>
    <w:p w14:paraId="5B02F3D4" w14:textId="77777777" w:rsidR="00907502" w:rsidRPr="00907502" w:rsidRDefault="00907502" w:rsidP="00907502">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Business Analytics </w:t>
      </w:r>
    </w:p>
    <w:p w14:paraId="1B5104F4" w14:textId="77777777" w:rsidR="00907502" w:rsidRPr="00907502" w:rsidRDefault="00907502" w:rsidP="00907502">
      <w:pPr>
        <w:widowControl/>
        <w:shd w:val="clear" w:color="auto" w:fill="FFFFFF"/>
        <w:spacing w:before="180" w:after="24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All sections A, B and C have guiding questions that can help you complete the project. Section B covers "matplotlib" library for plotting. Since it was not covered in the modules, incomplete codes are provided to guiding texts to complete the codes. The project also contains some qualitative question that you are expected to provide answers to on the notebook itself. Either user markdown cell type or comment out your answers for these questions.</w:t>
      </w:r>
    </w:p>
    <w:p w14:paraId="0E37D591"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b/>
          <w:bCs/>
          <w:color w:val="2D3B45"/>
          <w:kern w:val="0"/>
          <w:sz w:val="24"/>
          <w:szCs w:val="24"/>
        </w:rPr>
        <w:t>Item to submit:</w:t>
      </w:r>
      <w:r w:rsidRPr="00907502">
        <w:rPr>
          <w:rFonts w:ascii="Lato" w:eastAsia="宋体" w:hAnsi="Lato" w:cs="宋体"/>
          <w:color w:val="2D3B45"/>
          <w:kern w:val="0"/>
          <w:sz w:val="24"/>
          <w:szCs w:val="24"/>
        </w:rPr>
        <w:t> </w:t>
      </w:r>
    </w:p>
    <w:p w14:paraId="0F08D5C0" w14:textId="77777777" w:rsidR="00907502" w:rsidRPr="00907502" w:rsidRDefault="00907502" w:rsidP="00907502">
      <w:pPr>
        <w:widowControl/>
        <w:numPr>
          <w:ilvl w:val="0"/>
          <w:numId w:val="2"/>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The </w:t>
      </w:r>
      <w:proofErr w:type="spellStart"/>
      <w:r w:rsidRPr="00907502">
        <w:rPr>
          <w:rFonts w:ascii="Lato" w:eastAsia="宋体" w:hAnsi="Lato" w:cs="宋体"/>
          <w:color w:val="2D3B45"/>
          <w:kern w:val="0"/>
          <w:sz w:val="24"/>
          <w:szCs w:val="24"/>
        </w:rPr>
        <w:t>jupyter</w:t>
      </w:r>
      <w:proofErr w:type="spellEnd"/>
      <w:r w:rsidRPr="00907502">
        <w:rPr>
          <w:rFonts w:ascii="Lato" w:eastAsia="宋体" w:hAnsi="Lato" w:cs="宋体"/>
          <w:color w:val="2D3B45"/>
          <w:kern w:val="0"/>
          <w:sz w:val="24"/>
          <w:szCs w:val="24"/>
        </w:rPr>
        <w:t> notebook file with all three sections completed with required codes and answers</w:t>
      </w:r>
      <w:r w:rsidRPr="00907502">
        <w:rPr>
          <w:rFonts w:ascii="Lato" w:eastAsia="宋体" w:hAnsi="Lato" w:cs="宋体"/>
          <w:color w:val="2D3B45"/>
          <w:kern w:val="0"/>
          <w:sz w:val="24"/>
          <w:szCs w:val="24"/>
        </w:rPr>
        <w:br/>
      </w:r>
      <w:r w:rsidRPr="00907502">
        <w:rPr>
          <w:rFonts w:ascii="Lato" w:eastAsia="宋体" w:hAnsi="Lato" w:cs="宋体"/>
          <w:color w:val="2D3B45"/>
          <w:kern w:val="0"/>
          <w:sz w:val="24"/>
          <w:szCs w:val="24"/>
        </w:rPr>
        <w:br/>
      </w:r>
    </w:p>
    <w:p w14:paraId="60FCD175"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b/>
          <w:bCs/>
          <w:color w:val="2D3B45"/>
          <w:kern w:val="0"/>
          <w:sz w:val="24"/>
          <w:szCs w:val="24"/>
        </w:rPr>
        <w:lastRenderedPageBreak/>
        <w:t>Data Dictionary:</w:t>
      </w:r>
      <w:r w:rsidRPr="00907502">
        <w:rPr>
          <w:rFonts w:ascii="Lato" w:eastAsia="宋体" w:hAnsi="Lato" w:cs="宋体"/>
          <w:color w:val="2D3B45"/>
          <w:kern w:val="0"/>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6"/>
        <w:gridCol w:w="6204"/>
      </w:tblGrid>
      <w:tr w:rsidR="00907502" w:rsidRPr="00907502" w14:paraId="59882702"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FC63DF"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b/>
                <w:bCs/>
                <w:color w:val="2D3B45"/>
                <w:kern w:val="0"/>
                <w:sz w:val="24"/>
                <w:szCs w:val="24"/>
              </w:rPr>
              <w:t>Column Name</w:t>
            </w:r>
            <w:r w:rsidRPr="00907502">
              <w:rPr>
                <w:rFonts w:ascii="Lato" w:eastAsia="宋体" w:hAnsi="Lato" w:cs="宋体"/>
                <w:color w:val="2D3B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905135"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b/>
                <w:bCs/>
                <w:color w:val="2D3B45"/>
                <w:kern w:val="0"/>
                <w:sz w:val="24"/>
                <w:szCs w:val="24"/>
              </w:rPr>
              <w:t>Description</w:t>
            </w:r>
            <w:r w:rsidRPr="00907502">
              <w:rPr>
                <w:rFonts w:ascii="Lato" w:eastAsia="宋体" w:hAnsi="Lato" w:cs="宋体"/>
                <w:color w:val="2D3B45"/>
                <w:kern w:val="0"/>
                <w:sz w:val="24"/>
                <w:szCs w:val="24"/>
              </w:rPr>
              <w:t> </w:t>
            </w:r>
          </w:p>
        </w:tc>
      </w:tr>
      <w:tr w:rsidR="00907502" w:rsidRPr="00907502" w14:paraId="6D79A5D6"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4D5FE0"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Age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6400A5"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Customer's age in completed years </w:t>
            </w:r>
          </w:p>
        </w:tc>
      </w:tr>
      <w:tr w:rsidR="00907502" w:rsidRPr="00907502" w14:paraId="33BF76AB"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DBF228"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Experience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E5ECA2"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Number of years of professional experience </w:t>
            </w:r>
          </w:p>
          <w:p w14:paraId="3DB3BF52"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Negative value refers to numbers of years before graduation</w:t>
            </w:r>
          </w:p>
        </w:tc>
      </w:tr>
      <w:tr w:rsidR="00907502" w:rsidRPr="00907502" w14:paraId="3E4CE98E"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385BB5"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Income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230393"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Annual income of the customer ($000) </w:t>
            </w:r>
          </w:p>
        </w:tc>
      </w:tr>
      <w:tr w:rsidR="00907502" w:rsidRPr="00907502" w14:paraId="2C4B1D12"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A8CD8C"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Branch Address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E228FD"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Address of customer’s home branch </w:t>
            </w:r>
          </w:p>
        </w:tc>
      </w:tr>
      <w:tr w:rsidR="00907502" w:rsidRPr="00907502" w14:paraId="6F5C8806"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A706FE"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Family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C414BE"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Family size of the customer </w:t>
            </w:r>
          </w:p>
        </w:tc>
      </w:tr>
      <w:tr w:rsidR="00907502" w:rsidRPr="00907502" w14:paraId="7FF9CDC4"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DB4790" w14:textId="77777777" w:rsidR="00907502" w:rsidRPr="00907502" w:rsidRDefault="00907502" w:rsidP="00907502">
            <w:pPr>
              <w:widowControl/>
              <w:spacing w:before="180" w:after="180"/>
              <w:jc w:val="left"/>
              <w:rPr>
                <w:rFonts w:ascii="Lato" w:eastAsia="宋体" w:hAnsi="Lato" w:cs="宋体"/>
                <w:color w:val="2D3B45"/>
                <w:kern w:val="0"/>
                <w:sz w:val="24"/>
                <w:szCs w:val="24"/>
              </w:rPr>
            </w:pPr>
            <w:proofErr w:type="spellStart"/>
            <w:r w:rsidRPr="00907502">
              <w:rPr>
                <w:rFonts w:ascii="Lato" w:eastAsia="宋体" w:hAnsi="Lato" w:cs="宋体"/>
                <w:color w:val="2D3B45"/>
                <w:kern w:val="0"/>
                <w:sz w:val="24"/>
                <w:szCs w:val="24"/>
              </w:rPr>
              <w:t>CCAvg</w:t>
            </w:r>
            <w:proofErr w:type="spellEnd"/>
            <w:r w:rsidRPr="00907502">
              <w:rPr>
                <w:rFonts w:ascii="Lato" w:eastAsia="宋体" w:hAnsi="Lato" w:cs="宋体"/>
                <w:color w:val="2D3B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55430B"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Avg. spending on credit cards per month ($000) </w:t>
            </w:r>
          </w:p>
        </w:tc>
      </w:tr>
      <w:tr w:rsidR="00907502" w:rsidRPr="00907502" w14:paraId="1138951E"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57D110"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Mortgage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FC2C34"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Value of house mortgage if any ($000) </w:t>
            </w:r>
          </w:p>
        </w:tc>
      </w:tr>
      <w:tr w:rsidR="00907502" w:rsidRPr="00907502" w14:paraId="28C6E7D3"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BD6BA7"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Personal Loan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D7B1A4"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Did this customer accept the personal loan offered in the last campaign? </w:t>
            </w:r>
          </w:p>
        </w:tc>
      </w:tr>
      <w:tr w:rsidR="00907502" w:rsidRPr="00907502" w14:paraId="4ACFBC75"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B85E3E"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Brokerage Account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04737F"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Does the customer have a brokerage account with this bank? </w:t>
            </w:r>
          </w:p>
        </w:tc>
      </w:tr>
      <w:tr w:rsidR="00907502" w:rsidRPr="00907502" w14:paraId="5FCE4D33"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7DAEDF"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GIC Account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AA56BC"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Does the customer have a Guaranteed Investment Certificate (GIC) account with this bank? </w:t>
            </w:r>
          </w:p>
        </w:tc>
      </w:tr>
      <w:tr w:rsidR="00907502" w:rsidRPr="00907502" w14:paraId="365AD0D2"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7494BE"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Online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7AF01F"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Does the customer use internet banking facilities? </w:t>
            </w:r>
          </w:p>
        </w:tc>
      </w:tr>
      <w:tr w:rsidR="00907502" w:rsidRPr="00907502" w14:paraId="03985C3F"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09CFFF" w14:textId="77777777" w:rsidR="00907502" w:rsidRPr="00907502" w:rsidRDefault="00907502" w:rsidP="00907502">
            <w:pPr>
              <w:widowControl/>
              <w:spacing w:before="180" w:after="180"/>
              <w:jc w:val="left"/>
              <w:rPr>
                <w:rFonts w:ascii="Lato" w:eastAsia="宋体" w:hAnsi="Lato" w:cs="宋体"/>
                <w:color w:val="2D3B45"/>
                <w:kern w:val="0"/>
                <w:sz w:val="24"/>
                <w:szCs w:val="24"/>
              </w:rPr>
            </w:pPr>
            <w:proofErr w:type="spellStart"/>
            <w:r w:rsidRPr="00907502">
              <w:rPr>
                <w:rFonts w:ascii="Lato" w:eastAsia="宋体" w:hAnsi="Lato" w:cs="宋体"/>
                <w:color w:val="2D3B45"/>
                <w:kern w:val="0"/>
                <w:sz w:val="24"/>
                <w:szCs w:val="24"/>
              </w:rPr>
              <w:t>CreditCard</w:t>
            </w:r>
            <w:proofErr w:type="spellEnd"/>
            <w:r w:rsidRPr="00907502">
              <w:rPr>
                <w:rFonts w:ascii="Lato" w:eastAsia="宋体" w:hAnsi="Lato" w:cs="宋体"/>
                <w:color w:val="2D3B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7D3CF4"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Does the customer use a credit card issued by this bank? </w:t>
            </w:r>
          </w:p>
        </w:tc>
      </w:tr>
      <w:tr w:rsidR="00907502" w:rsidRPr="00907502" w14:paraId="6A9BB416"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179D41"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Advisor Name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F87B37"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Customer’s financial advisor/planner with this bank </w:t>
            </w:r>
          </w:p>
        </w:tc>
      </w:tr>
      <w:tr w:rsidR="00907502" w:rsidRPr="00907502" w14:paraId="1D1BDB16"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58984A"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Advisor Designation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D74917"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Financial advisor’s designation </w:t>
            </w:r>
          </w:p>
        </w:tc>
      </w:tr>
      <w:tr w:rsidR="00907502" w:rsidRPr="00907502" w14:paraId="1AB6BC58" w14:textId="77777777" w:rsidTr="00907502">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B0ABC4"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lastRenderedPageBreak/>
              <w:t>Advisor Branch Addresses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BA50B3" w14:textId="77777777" w:rsidR="00907502" w:rsidRPr="00907502" w:rsidRDefault="00907502" w:rsidP="00907502">
            <w:pPr>
              <w:widowControl/>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The list of branch addresses that a particular advisor most often serves, separated by semicolon. </w:t>
            </w:r>
          </w:p>
        </w:tc>
      </w:tr>
    </w:tbl>
    <w:p w14:paraId="6F644339"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  </w:t>
      </w:r>
    </w:p>
    <w:p w14:paraId="7473D7F1" w14:textId="77777777" w:rsidR="00907502" w:rsidRPr="00907502" w:rsidRDefault="00907502" w:rsidP="00907502">
      <w:pPr>
        <w:widowControl/>
        <w:shd w:val="clear" w:color="auto" w:fill="FFFFFF"/>
        <w:spacing w:before="180" w:after="180"/>
        <w:jc w:val="left"/>
        <w:rPr>
          <w:rFonts w:ascii="Lato" w:eastAsia="宋体" w:hAnsi="Lato" w:cs="宋体"/>
          <w:color w:val="2D3B45"/>
          <w:kern w:val="0"/>
          <w:sz w:val="24"/>
          <w:szCs w:val="24"/>
        </w:rPr>
      </w:pPr>
      <w:r w:rsidRPr="00907502">
        <w:rPr>
          <w:rFonts w:ascii="Lato" w:eastAsia="宋体" w:hAnsi="Lato" w:cs="宋体"/>
          <w:b/>
          <w:bCs/>
          <w:color w:val="2D3B45"/>
          <w:kern w:val="0"/>
          <w:sz w:val="24"/>
          <w:szCs w:val="24"/>
        </w:rPr>
        <w:t>Brief “Financial Glossary”:</w:t>
      </w:r>
      <w:r w:rsidRPr="00907502">
        <w:rPr>
          <w:rFonts w:ascii="Lato" w:eastAsia="宋体" w:hAnsi="Lato" w:cs="宋体"/>
          <w:color w:val="2D3B45"/>
          <w:kern w:val="0"/>
          <w:sz w:val="24"/>
          <w:szCs w:val="24"/>
        </w:rPr>
        <w:t> </w:t>
      </w:r>
    </w:p>
    <w:p w14:paraId="1B302AAB" w14:textId="77777777" w:rsidR="00907502" w:rsidRPr="00907502" w:rsidRDefault="00907502" w:rsidP="00907502">
      <w:pPr>
        <w:widowControl/>
        <w:numPr>
          <w:ilvl w:val="0"/>
          <w:numId w:val="3"/>
        </w:numPr>
        <w:shd w:val="clear" w:color="auto" w:fill="FFFFFF"/>
        <w:spacing w:before="100" w:beforeAutospacing="1" w:after="100" w:afterAutospacing="1"/>
        <w:ind w:left="357" w:hanging="357"/>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Designations: </w:t>
      </w:r>
    </w:p>
    <w:p w14:paraId="21E1AE2D" w14:textId="77777777" w:rsidR="00907502" w:rsidRPr="00907502" w:rsidRDefault="00907502" w:rsidP="00907502">
      <w:pPr>
        <w:widowControl/>
        <w:shd w:val="clear" w:color="auto" w:fill="FFFFFF"/>
        <w:jc w:val="left"/>
        <w:rPr>
          <w:rFonts w:ascii="Lato" w:eastAsia="宋体" w:hAnsi="Lato" w:cs="宋体" w:hint="eastAsia"/>
          <w:color w:val="2D3B45"/>
          <w:kern w:val="0"/>
          <w:sz w:val="24"/>
          <w:szCs w:val="24"/>
        </w:rPr>
      </w:pPr>
    </w:p>
    <w:p w14:paraId="5B97DAE9" w14:textId="77777777" w:rsidR="00907502" w:rsidRDefault="00907502" w:rsidP="009E7B98">
      <w:pPr>
        <w:widowControl/>
        <w:numPr>
          <w:ilvl w:val="1"/>
          <w:numId w:val="5"/>
        </w:numPr>
        <w:shd w:val="clear" w:color="auto" w:fill="FFFFFF"/>
        <w:spacing w:before="100" w:beforeAutospacing="1" w:after="100" w:afterAutospacing="1"/>
        <w:ind w:leftChars="50" w:left="465"/>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PFP: Personal Financial Planner </w:t>
      </w:r>
    </w:p>
    <w:p w14:paraId="6F567218" w14:textId="35CEDA42" w:rsidR="00907502" w:rsidRPr="00907502" w:rsidRDefault="00907502" w:rsidP="009E7B98">
      <w:pPr>
        <w:widowControl/>
        <w:numPr>
          <w:ilvl w:val="1"/>
          <w:numId w:val="5"/>
        </w:numPr>
        <w:shd w:val="clear" w:color="auto" w:fill="FFFFFF"/>
        <w:spacing w:before="100" w:beforeAutospacing="1" w:after="100" w:afterAutospacing="1"/>
        <w:ind w:leftChars="50" w:left="465"/>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CFP: Certified Financial Planner </w:t>
      </w:r>
    </w:p>
    <w:p w14:paraId="1B7D06B9" w14:textId="611491BE" w:rsidR="00907502" w:rsidRPr="00907502" w:rsidRDefault="00907502" w:rsidP="00907502">
      <w:pPr>
        <w:widowControl/>
        <w:numPr>
          <w:ilvl w:val="1"/>
          <w:numId w:val="5"/>
        </w:numPr>
        <w:shd w:val="clear" w:color="auto" w:fill="FFFFFF"/>
        <w:spacing w:beforeAutospacing="1" w:afterAutospacing="1"/>
        <w:ind w:leftChars="50" w:left="465"/>
        <w:jc w:val="left"/>
        <w:rPr>
          <w:rFonts w:ascii="Lato" w:eastAsia="宋体" w:hAnsi="Lato" w:cs="宋体" w:hint="eastAsia"/>
          <w:color w:val="2D3B45"/>
          <w:kern w:val="0"/>
          <w:sz w:val="24"/>
          <w:szCs w:val="24"/>
        </w:rPr>
      </w:pPr>
      <w:r w:rsidRPr="00907502">
        <w:rPr>
          <w:rFonts w:ascii="Lato" w:eastAsia="宋体" w:hAnsi="Lato" w:cs="宋体"/>
          <w:color w:val="2D3B45"/>
          <w:kern w:val="0"/>
          <w:sz w:val="24"/>
          <w:szCs w:val="24"/>
        </w:rPr>
        <w:t>For a discussion on the designations see, for example, </w:t>
      </w:r>
      <w:hyperlink r:id="rId10" w:tgtFrame="_blank" w:history="1">
        <w:r w:rsidRPr="00907502">
          <w:rPr>
            <w:rFonts w:ascii="Lato" w:eastAsia="宋体" w:hAnsi="Lato" w:cs="宋体"/>
            <w:color w:val="0000FF"/>
            <w:kern w:val="0"/>
            <w:sz w:val="24"/>
            <w:szCs w:val="24"/>
            <w:u w:val="single"/>
          </w:rPr>
          <w:t>https://www.theglobeandmail.com/globe-investor/personal-finance/financial-advisers-a-tale-of-two-certificates/article4083578/</w:t>
        </w:r>
        <w:r w:rsidRPr="00907502">
          <w:rPr>
            <w:rFonts w:ascii="Lato" w:eastAsia="宋体" w:hAnsi="Lato" w:cs="宋体"/>
            <w:color w:val="0000FF"/>
            <w:kern w:val="0"/>
            <w:sz w:val="24"/>
            <w:szCs w:val="24"/>
            <w:u w:val="single"/>
            <w:bdr w:val="none" w:sz="0" w:space="0" w:color="auto" w:frame="1"/>
          </w:rPr>
          <w:t>Links to an external site.</w:t>
        </w:r>
      </w:hyperlink>
      <w:r w:rsidRPr="00907502">
        <w:rPr>
          <w:rFonts w:ascii="Lato" w:eastAsia="宋体" w:hAnsi="Lato" w:cs="宋体"/>
          <w:color w:val="2D3B45"/>
          <w:kern w:val="0"/>
          <w:sz w:val="24"/>
          <w:szCs w:val="24"/>
        </w:rPr>
        <w:t> </w:t>
      </w:r>
    </w:p>
    <w:p w14:paraId="2677A2A1" w14:textId="77777777" w:rsidR="00907502" w:rsidRPr="00907502" w:rsidRDefault="00907502" w:rsidP="00907502">
      <w:pPr>
        <w:widowControl/>
        <w:numPr>
          <w:ilvl w:val="2"/>
          <w:numId w:val="6"/>
        </w:numPr>
        <w:shd w:val="clear" w:color="auto" w:fill="FFFFFF"/>
        <w:spacing w:before="100" w:beforeAutospacing="1" w:after="100" w:afterAutospacing="1"/>
        <w:ind w:left="924" w:hanging="357"/>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“The problem with the PFP is that it's redundant. The Certified Financial Planner, or CFP, is bigger, better and an ideal designation on which to build a single accreditation for the professional adviser.” </w:t>
      </w:r>
    </w:p>
    <w:p w14:paraId="56A6AF89" w14:textId="77777777" w:rsidR="00907502" w:rsidRPr="00907502" w:rsidRDefault="00907502" w:rsidP="00907502">
      <w:pPr>
        <w:widowControl/>
        <w:numPr>
          <w:ilvl w:val="2"/>
          <w:numId w:val="6"/>
        </w:numPr>
        <w:shd w:val="clear" w:color="auto" w:fill="FFFFFF"/>
        <w:spacing w:before="100" w:beforeAutospacing="1" w:after="100" w:afterAutospacing="1"/>
        <w:ind w:left="924" w:hanging="357"/>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“To keep things super simple, look for the CFP if you're seeking true financial planning and not someone to sell you mutual funds. The PFP is okay, but it's the No. 2 brand.” </w:t>
      </w:r>
      <w:r w:rsidRPr="00907502">
        <w:rPr>
          <w:rFonts w:ascii="Lato" w:eastAsia="宋体" w:hAnsi="Lato" w:cs="宋体"/>
          <w:color w:val="2D3B45"/>
          <w:kern w:val="0"/>
          <w:sz w:val="24"/>
          <w:szCs w:val="24"/>
        </w:rPr>
        <w:br/>
        <w:t> </w:t>
      </w:r>
    </w:p>
    <w:p w14:paraId="53A90BB0" w14:textId="4BE8E4AB" w:rsidR="00907502" w:rsidRPr="00907502" w:rsidRDefault="00907502" w:rsidP="00907502">
      <w:pPr>
        <w:widowControl/>
        <w:numPr>
          <w:ilvl w:val="0"/>
          <w:numId w:val="7"/>
        </w:numPr>
        <w:shd w:val="clear" w:color="auto" w:fill="FFFFFF"/>
        <w:spacing w:before="100" w:beforeAutospacing="1" w:after="100" w:afterAutospacing="1"/>
        <w:ind w:left="357" w:hanging="357"/>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 brokerage account allows customers to access more complex investments, such as stocks and bonds. </w:t>
      </w:r>
    </w:p>
    <w:p w14:paraId="4666A571" w14:textId="77777777" w:rsidR="00907502" w:rsidRDefault="00907502" w:rsidP="00907502">
      <w:pPr>
        <w:widowControl/>
        <w:numPr>
          <w:ilvl w:val="0"/>
          <w:numId w:val="8"/>
        </w:numPr>
        <w:shd w:val="clear" w:color="auto" w:fill="FFFFFF"/>
        <w:spacing w:before="100" w:beforeAutospacing="1" w:after="100" w:afterAutospacing="1"/>
        <w:ind w:left="357" w:hanging="357"/>
        <w:jc w:val="left"/>
        <w:rPr>
          <w:rFonts w:ascii="Lato" w:eastAsia="宋体" w:hAnsi="Lato" w:cs="宋体"/>
          <w:color w:val="2D3B45"/>
          <w:kern w:val="0"/>
          <w:sz w:val="24"/>
          <w:szCs w:val="24"/>
        </w:rPr>
      </w:pPr>
      <w:r w:rsidRPr="00907502">
        <w:rPr>
          <w:rFonts w:ascii="Lato" w:eastAsia="宋体" w:hAnsi="Lato" w:cs="宋体"/>
          <w:color w:val="2D3B45"/>
          <w:kern w:val="0"/>
          <w:sz w:val="24"/>
          <w:szCs w:val="24"/>
        </w:rPr>
        <w:t>A guaranteed investment certificate (GIC, French: </w:t>
      </w:r>
      <w:proofErr w:type="spellStart"/>
      <w:r w:rsidRPr="00907502">
        <w:rPr>
          <w:rFonts w:ascii="Lato" w:eastAsia="宋体" w:hAnsi="Lato" w:cs="宋体"/>
          <w:color w:val="2D3B45"/>
          <w:kern w:val="0"/>
          <w:sz w:val="24"/>
          <w:szCs w:val="24"/>
        </w:rPr>
        <w:t>certificat</w:t>
      </w:r>
      <w:proofErr w:type="spellEnd"/>
      <w:r w:rsidRPr="00907502">
        <w:rPr>
          <w:rFonts w:ascii="Lato" w:eastAsia="宋体" w:hAnsi="Lato" w:cs="宋体"/>
          <w:color w:val="2D3B45"/>
          <w:kern w:val="0"/>
          <w:sz w:val="24"/>
          <w:szCs w:val="24"/>
        </w:rPr>
        <w:t> de placement </w:t>
      </w:r>
      <w:proofErr w:type="spellStart"/>
      <w:r w:rsidRPr="00907502">
        <w:rPr>
          <w:rFonts w:ascii="Lato" w:eastAsia="宋体" w:hAnsi="Lato" w:cs="宋体"/>
          <w:color w:val="2D3B45"/>
          <w:kern w:val="0"/>
          <w:sz w:val="24"/>
          <w:szCs w:val="24"/>
        </w:rPr>
        <w:t>garanti</w:t>
      </w:r>
      <w:proofErr w:type="spellEnd"/>
      <w:r w:rsidRPr="00907502">
        <w:rPr>
          <w:rFonts w:ascii="Lato" w:eastAsia="宋体" w:hAnsi="Lato" w:cs="宋体"/>
          <w:color w:val="2D3B45"/>
          <w:kern w:val="0"/>
          <w:sz w:val="24"/>
          <w:szCs w:val="24"/>
        </w:rPr>
        <w:t xml:space="preserve">, CPG) is a Canadian investment that offers a guaranteed rate of return over a fixed </w:t>
      </w:r>
      <w:proofErr w:type="gramStart"/>
      <w:r w:rsidRPr="00907502">
        <w:rPr>
          <w:rFonts w:ascii="Lato" w:eastAsia="宋体" w:hAnsi="Lato" w:cs="宋体"/>
          <w:color w:val="2D3B45"/>
          <w:kern w:val="0"/>
          <w:sz w:val="24"/>
          <w:szCs w:val="24"/>
        </w:rPr>
        <w:t>period of time</w:t>
      </w:r>
      <w:proofErr w:type="gramEnd"/>
      <w:r w:rsidRPr="00907502">
        <w:rPr>
          <w:rFonts w:ascii="Lato" w:eastAsia="宋体" w:hAnsi="Lato" w:cs="宋体"/>
          <w:color w:val="2D3B45"/>
          <w:kern w:val="0"/>
          <w:sz w:val="24"/>
          <w:szCs w:val="24"/>
        </w:rPr>
        <w:t xml:space="preserve">, most commonly issued by trust companies or banks.[1] Due to its low risk profile, the return is generally less than other investments such as stocks, bonds, or mutual funds. It is </w:t>
      </w:r>
      <w:proofErr w:type="gramStart"/>
      <w:r w:rsidRPr="00907502">
        <w:rPr>
          <w:rFonts w:ascii="Lato" w:eastAsia="宋体" w:hAnsi="Lato" w:cs="宋体"/>
          <w:color w:val="2D3B45"/>
          <w:kern w:val="0"/>
          <w:sz w:val="24"/>
          <w:szCs w:val="24"/>
        </w:rPr>
        <w:t>similar to</w:t>
      </w:r>
      <w:proofErr w:type="gramEnd"/>
      <w:r w:rsidRPr="00907502">
        <w:rPr>
          <w:rFonts w:ascii="Lato" w:eastAsia="宋体" w:hAnsi="Lato" w:cs="宋体"/>
          <w:color w:val="2D3B45"/>
          <w:kern w:val="0"/>
          <w:sz w:val="24"/>
          <w:szCs w:val="24"/>
        </w:rPr>
        <w:t xml:space="preserve"> a time or term deposit as known in other countries.[2]” </w:t>
      </w:r>
    </w:p>
    <w:p w14:paraId="7D1CFB53" w14:textId="5080239E" w:rsidR="0041390F" w:rsidRPr="00907502" w:rsidRDefault="00907502" w:rsidP="00907502">
      <w:pPr>
        <w:widowControl/>
        <w:numPr>
          <w:ilvl w:val="0"/>
          <w:numId w:val="8"/>
        </w:numPr>
        <w:shd w:val="clear" w:color="auto" w:fill="FFFFFF"/>
        <w:spacing w:before="100" w:beforeAutospacing="1" w:after="100" w:afterAutospacing="1"/>
        <w:ind w:left="357" w:hanging="357"/>
        <w:jc w:val="left"/>
        <w:rPr>
          <w:rFonts w:ascii="Lato" w:eastAsia="宋体" w:hAnsi="Lato" w:cs="宋体" w:hint="eastAsia"/>
          <w:color w:val="2D3B45"/>
          <w:kern w:val="0"/>
          <w:sz w:val="24"/>
          <w:szCs w:val="24"/>
        </w:rPr>
      </w:pPr>
      <w:hyperlink r:id="rId11" w:tgtFrame="_blank" w:history="1">
        <w:r w:rsidRPr="00907502">
          <w:rPr>
            <w:rFonts w:ascii="Lato" w:eastAsia="宋体" w:hAnsi="Lato" w:cs="宋体"/>
            <w:color w:val="0000FF"/>
            <w:kern w:val="0"/>
            <w:sz w:val="24"/>
            <w:szCs w:val="24"/>
            <w:u w:val="single"/>
          </w:rPr>
          <w:t>https://en.wikipedia.org/wiki/Guaranteed_investment_certificate</w:t>
        </w:r>
        <w:r w:rsidRPr="00907502">
          <w:rPr>
            <w:rFonts w:ascii="Lato" w:eastAsia="宋体" w:hAnsi="Lato" w:cs="宋体"/>
            <w:color w:val="0000FF"/>
            <w:kern w:val="0"/>
            <w:sz w:val="24"/>
            <w:szCs w:val="24"/>
            <w:u w:val="single"/>
            <w:bdr w:val="none" w:sz="0" w:space="0" w:color="auto" w:frame="1"/>
          </w:rPr>
          <w:t>Links to an external site.</w:t>
        </w:r>
      </w:hyperlink>
    </w:p>
    <w:sectPr w:rsidR="0041390F" w:rsidRPr="0090750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AB5C" w14:textId="77777777" w:rsidR="000E711C" w:rsidRDefault="000E711C" w:rsidP="00907502">
      <w:r>
        <w:separator/>
      </w:r>
    </w:p>
  </w:endnote>
  <w:endnote w:type="continuationSeparator" w:id="0">
    <w:p w14:paraId="44FB0A51" w14:textId="77777777" w:rsidR="000E711C" w:rsidRDefault="000E711C" w:rsidP="00907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F116" w14:textId="77777777" w:rsidR="00907502" w:rsidRDefault="00907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EEC1" w14:textId="77777777" w:rsidR="00907502" w:rsidRDefault="009075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B3EA" w14:textId="77777777" w:rsidR="00907502" w:rsidRDefault="00907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D3115" w14:textId="77777777" w:rsidR="000E711C" w:rsidRDefault="000E711C" w:rsidP="00907502">
      <w:r>
        <w:separator/>
      </w:r>
    </w:p>
  </w:footnote>
  <w:footnote w:type="continuationSeparator" w:id="0">
    <w:p w14:paraId="6F04BBD1" w14:textId="77777777" w:rsidR="000E711C" w:rsidRDefault="000E711C" w:rsidP="00907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59D9B" w14:textId="77777777" w:rsidR="00907502" w:rsidRDefault="009075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2752" w14:textId="77777777" w:rsidR="00907502" w:rsidRDefault="009075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F383" w14:textId="77777777" w:rsidR="00907502" w:rsidRDefault="00907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D8A"/>
    <w:multiLevelType w:val="multilevel"/>
    <w:tmpl w:val="DDC09F08"/>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 w15:restartNumberingAfterBreak="0">
    <w:nsid w:val="0D9C539D"/>
    <w:multiLevelType w:val="multilevel"/>
    <w:tmpl w:val="F0B0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E34F5"/>
    <w:multiLevelType w:val="multilevel"/>
    <w:tmpl w:val="C052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E6349"/>
    <w:multiLevelType w:val="multilevel"/>
    <w:tmpl w:val="71CA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07155"/>
    <w:multiLevelType w:val="multilevel"/>
    <w:tmpl w:val="489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A568F"/>
    <w:multiLevelType w:val="multilevel"/>
    <w:tmpl w:val="D860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C66E8"/>
    <w:multiLevelType w:val="multilevel"/>
    <w:tmpl w:val="26C6B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E5F24"/>
    <w:multiLevelType w:val="multilevel"/>
    <w:tmpl w:val="53E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033C8"/>
    <w:multiLevelType w:val="multilevel"/>
    <w:tmpl w:val="80AA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66818">
    <w:abstractNumId w:val="5"/>
  </w:num>
  <w:num w:numId="2" w16cid:durableId="482813954">
    <w:abstractNumId w:val="4"/>
  </w:num>
  <w:num w:numId="3" w16cid:durableId="1122070647">
    <w:abstractNumId w:val="0"/>
  </w:num>
  <w:num w:numId="4" w16cid:durableId="587930094">
    <w:abstractNumId w:val="7"/>
  </w:num>
  <w:num w:numId="5" w16cid:durableId="1504003468">
    <w:abstractNumId w:val="8"/>
  </w:num>
  <w:num w:numId="6" w16cid:durableId="238909505">
    <w:abstractNumId w:val="6"/>
  </w:num>
  <w:num w:numId="7" w16cid:durableId="2001304004">
    <w:abstractNumId w:val="3"/>
  </w:num>
  <w:num w:numId="8" w16cid:durableId="592012047">
    <w:abstractNumId w:val="2"/>
  </w:num>
  <w:num w:numId="9" w16cid:durableId="332296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0A"/>
    <w:rsid w:val="000E711C"/>
    <w:rsid w:val="0041390F"/>
    <w:rsid w:val="00907502"/>
    <w:rsid w:val="00E1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49C8"/>
  <w15:chartTrackingRefBased/>
  <w15:docId w15:val="{D3C5949C-01AC-45AD-B412-79F19782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1220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E1220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E1220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1220A"/>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E1220A"/>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1220A"/>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E1220A"/>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1220A"/>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1220A"/>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20A"/>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E1220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E1220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1220A"/>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E1220A"/>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1220A"/>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E1220A"/>
    <w:rPr>
      <w:rFonts w:cstheme="majorBidi"/>
      <w:b/>
      <w:bCs/>
      <w:color w:val="595959" w:themeColor="text1" w:themeTint="A6"/>
    </w:rPr>
  </w:style>
  <w:style w:type="character" w:customStyle="1" w:styleId="Heading8Char">
    <w:name w:val="Heading 8 Char"/>
    <w:basedOn w:val="DefaultParagraphFont"/>
    <w:link w:val="Heading8"/>
    <w:uiPriority w:val="9"/>
    <w:semiHidden/>
    <w:rsid w:val="00E1220A"/>
    <w:rPr>
      <w:rFonts w:cstheme="majorBidi"/>
      <w:color w:val="595959" w:themeColor="text1" w:themeTint="A6"/>
    </w:rPr>
  </w:style>
  <w:style w:type="character" w:customStyle="1" w:styleId="Heading9Char">
    <w:name w:val="Heading 9 Char"/>
    <w:basedOn w:val="DefaultParagraphFont"/>
    <w:link w:val="Heading9"/>
    <w:uiPriority w:val="9"/>
    <w:semiHidden/>
    <w:rsid w:val="00E1220A"/>
    <w:rPr>
      <w:rFonts w:eastAsiaTheme="majorEastAsia" w:cstheme="majorBidi"/>
      <w:color w:val="595959" w:themeColor="text1" w:themeTint="A6"/>
    </w:rPr>
  </w:style>
  <w:style w:type="paragraph" w:styleId="Title">
    <w:name w:val="Title"/>
    <w:basedOn w:val="Normal"/>
    <w:next w:val="Normal"/>
    <w:link w:val="TitleChar"/>
    <w:uiPriority w:val="10"/>
    <w:qFormat/>
    <w:rsid w:val="00E1220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2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20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122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20A"/>
    <w:rPr>
      <w:i/>
      <w:iCs/>
      <w:color w:val="404040" w:themeColor="text1" w:themeTint="BF"/>
    </w:rPr>
  </w:style>
  <w:style w:type="paragraph" w:styleId="ListParagraph">
    <w:name w:val="List Paragraph"/>
    <w:basedOn w:val="Normal"/>
    <w:uiPriority w:val="34"/>
    <w:qFormat/>
    <w:rsid w:val="00E1220A"/>
    <w:pPr>
      <w:ind w:left="720"/>
      <w:contextualSpacing/>
    </w:pPr>
  </w:style>
  <w:style w:type="character" w:styleId="IntenseEmphasis">
    <w:name w:val="Intense Emphasis"/>
    <w:basedOn w:val="DefaultParagraphFont"/>
    <w:uiPriority w:val="21"/>
    <w:qFormat/>
    <w:rsid w:val="00E1220A"/>
    <w:rPr>
      <w:i/>
      <w:iCs/>
      <w:color w:val="2F5496" w:themeColor="accent1" w:themeShade="BF"/>
    </w:rPr>
  </w:style>
  <w:style w:type="paragraph" w:styleId="IntenseQuote">
    <w:name w:val="Intense Quote"/>
    <w:basedOn w:val="Normal"/>
    <w:next w:val="Normal"/>
    <w:link w:val="IntenseQuoteChar"/>
    <w:uiPriority w:val="30"/>
    <w:qFormat/>
    <w:rsid w:val="00E122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20A"/>
    <w:rPr>
      <w:i/>
      <w:iCs/>
      <w:color w:val="2F5496" w:themeColor="accent1" w:themeShade="BF"/>
    </w:rPr>
  </w:style>
  <w:style w:type="character" w:styleId="IntenseReference">
    <w:name w:val="Intense Reference"/>
    <w:basedOn w:val="DefaultParagraphFont"/>
    <w:uiPriority w:val="32"/>
    <w:qFormat/>
    <w:rsid w:val="00E1220A"/>
    <w:rPr>
      <w:b/>
      <w:bCs/>
      <w:smallCaps/>
      <w:color w:val="2F5496" w:themeColor="accent1" w:themeShade="BF"/>
      <w:spacing w:val="5"/>
    </w:rPr>
  </w:style>
  <w:style w:type="paragraph" w:styleId="Header">
    <w:name w:val="header"/>
    <w:basedOn w:val="Normal"/>
    <w:link w:val="HeaderChar"/>
    <w:uiPriority w:val="99"/>
    <w:unhideWhenUsed/>
    <w:rsid w:val="0090750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502"/>
    <w:rPr>
      <w:sz w:val="18"/>
      <w:szCs w:val="18"/>
    </w:rPr>
  </w:style>
  <w:style w:type="paragraph" w:styleId="Footer">
    <w:name w:val="footer"/>
    <w:basedOn w:val="Normal"/>
    <w:link w:val="FooterChar"/>
    <w:uiPriority w:val="99"/>
    <w:unhideWhenUsed/>
    <w:rsid w:val="0090750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502"/>
    <w:rPr>
      <w:sz w:val="18"/>
      <w:szCs w:val="18"/>
    </w:rPr>
  </w:style>
  <w:style w:type="paragraph" w:styleId="NormalWeb">
    <w:name w:val="Normal (Web)"/>
    <w:basedOn w:val="Normal"/>
    <w:uiPriority w:val="99"/>
    <w:semiHidden/>
    <w:unhideWhenUsed/>
    <w:rsid w:val="00907502"/>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07502"/>
    <w:rPr>
      <w:b/>
      <w:bCs/>
    </w:rPr>
  </w:style>
  <w:style w:type="character" w:customStyle="1" w:styleId="instructurefileholder">
    <w:name w:val="instructure_file_holder"/>
    <w:basedOn w:val="DefaultParagraphFont"/>
    <w:rsid w:val="00907502"/>
  </w:style>
  <w:style w:type="character" w:styleId="Hyperlink">
    <w:name w:val="Hyperlink"/>
    <w:basedOn w:val="DefaultParagraphFont"/>
    <w:uiPriority w:val="99"/>
    <w:semiHidden/>
    <w:unhideWhenUsed/>
    <w:rsid w:val="00907502"/>
    <w:rPr>
      <w:color w:val="0000FF"/>
      <w:u w:val="single"/>
    </w:rPr>
  </w:style>
  <w:style w:type="character" w:customStyle="1" w:styleId="screenreader-only">
    <w:name w:val="screenreader-only"/>
    <w:basedOn w:val="DefaultParagraphFont"/>
    <w:rsid w:val="0090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2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toronto.ca/courses/323171/files/26355545/download?download_frd=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toronto.ca/courses/323171/files/26355545?wrap=1"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uaranteed_investment_certifica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theglobeandmail.com/globe-investor/personal-finance/financial-advisers-a-tale-of-two-certificates/article408357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q.utoronto.ca/courses/323171/files/26355510/download"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Yifang Chen</dc:creator>
  <cp:keywords/>
  <dc:description/>
  <cp:lastModifiedBy>Yifang Chen</cp:lastModifiedBy>
  <cp:revision>2</cp:revision>
  <dcterms:created xsi:type="dcterms:W3CDTF">2024-02-26T20:44:00Z</dcterms:created>
  <dcterms:modified xsi:type="dcterms:W3CDTF">2024-02-26T20:47:00Z</dcterms:modified>
</cp:coreProperties>
</file>