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C86" w14:textId="77777777" w:rsidR="004D09EB" w:rsidRPr="00FA0460" w:rsidRDefault="004D09EB" w:rsidP="004D09EB">
      <w:pPr>
        <w:jc w:val="center"/>
        <w:rPr>
          <w:rFonts w:cstheme="minorHAnsi"/>
          <w:b/>
          <w:sz w:val="24"/>
          <w:szCs w:val="24"/>
        </w:rPr>
      </w:pPr>
      <w:r w:rsidRPr="00FA0460">
        <w:rPr>
          <w:rFonts w:cstheme="minorHAnsi"/>
          <w:b/>
          <w:sz w:val="24"/>
          <w:szCs w:val="24"/>
        </w:rPr>
        <w:t xml:space="preserve">Notes on Initial Transcription of </w:t>
      </w:r>
      <w:r w:rsidRPr="00FA0460">
        <w:rPr>
          <w:rFonts w:cstheme="minorHAnsi"/>
          <w:b/>
          <w:i/>
          <w:sz w:val="24"/>
          <w:szCs w:val="24"/>
        </w:rPr>
        <w:t xml:space="preserve">Missionary Travels </w:t>
      </w:r>
      <w:r w:rsidRPr="00FA0460">
        <w:rPr>
          <w:rFonts w:cstheme="minorHAnsi"/>
          <w:b/>
          <w:sz w:val="24"/>
          <w:szCs w:val="24"/>
        </w:rPr>
        <w:t>for XML Template</w:t>
      </w:r>
    </w:p>
    <w:p w14:paraId="4F897C19" w14:textId="77777777" w:rsidR="004D09EB" w:rsidRPr="00FA0460" w:rsidRDefault="004D09EB" w:rsidP="004D09EB">
      <w:pPr>
        <w:jc w:val="center"/>
        <w:rPr>
          <w:rFonts w:cstheme="minorHAnsi"/>
          <w:b/>
          <w:sz w:val="24"/>
          <w:szCs w:val="24"/>
        </w:rPr>
      </w:pPr>
    </w:p>
    <w:p w14:paraId="686AA67E" w14:textId="77777777" w:rsidR="004D09EB" w:rsidRPr="00FA0460" w:rsidRDefault="004D09EB" w:rsidP="004D09EB">
      <w:pPr>
        <w:jc w:val="center"/>
        <w:rPr>
          <w:rFonts w:cstheme="minorHAnsi"/>
          <w:b/>
          <w:sz w:val="24"/>
          <w:szCs w:val="24"/>
        </w:rPr>
      </w:pPr>
      <w:r w:rsidRPr="00FA0460">
        <w:rPr>
          <w:rFonts w:cstheme="minorHAnsi"/>
          <w:b/>
          <w:sz w:val="24"/>
          <w:szCs w:val="24"/>
        </w:rPr>
        <w:t>Justin Livingstone 10</w:t>
      </w:r>
      <w:r w:rsidRPr="00FA0460">
        <w:rPr>
          <w:rFonts w:cstheme="minorHAnsi"/>
          <w:b/>
          <w:sz w:val="24"/>
          <w:szCs w:val="24"/>
          <w:vertAlign w:val="superscript"/>
        </w:rPr>
        <w:t>th</w:t>
      </w:r>
      <w:r w:rsidRPr="00FA0460">
        <w:rPr>
          <w:rFonts w:cstheme="minorHAnsi"/>
          <w:b/>
          <w:sz w:val="24"/>
          <w:szCs w:val="24"/>
        </w:rPr>
        <w:t xml:space="preserve"> Dec 2013</w:t>
      </w:r>
    </w:p>
    <w:p w14:paraId="5E8220B0" w14:textId="77777777" w:rsidR="004D09EB" w:rsidRDefault="004D09EB" w:rsidP="004D09EB">
      <w:pPr>
        <w:jc w:val="center"/>
        <w:rPr>
          <w:rFonts w:cstheme="minorHAnsi"/>
          <w:sz w:val="24"/>
          <w:szCs w:val="24"/>
        </w:rPr>
      </w:pPr>
    </w:p>
    <w:p w14:paraId="412CF5E0" w14:textId="77777777" w:rsidR="004D09EB" w:rsidRPr="00FA0460" w:rsidRDefault="004D09EB" w:rsidP="004D09EB">
      <w:pPr>
        <w:jc w:val="center"/>
        <w:rPr>
          <w:rFonts w:cstheme="minorHAnsi"/>
          <w:sz w:val="24"/>
          <w:szCs w:val="24"/>
        </w:rPr>
      </w:pPr>
    </w:p>
    <w:p w14:paraId="74E16877" w14:textId="77777777" w:rsidR="004D09EB" w:rsidRPr="00FA0460" w:rsidRDefault="004D09EB" w:rsidP="004D09EB">
      <w:p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Transcribed Sections</w:t>
      </w:r>
    </w:p>
    <w:p w14:paraId="0671921F" w14:textId="77777777" w:rsidR="004D09EB" w:rsidRPr="00FA0460" w:rsidRDefault="004D09EB" w:rsidP="004D09EB">
      <w:p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Sect 01, pp.0004-0008</w:t>
      </w:r>
    </w:p>
    <w:p w14:paraId="4DFF7086" w14:textId="77777777" w:rsidR="004D09EB" w:rsidRPr="00FA0460" w:rsidRDefault="004D09EB" w:rsidP="004D09EB">
      <w:p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Sect 05, pp.0092-0093</w:t>
      </w:r>
    </w:p>
    <w:p w14:paraId="5B8CA689" w14:textId="77777777" w:rsidR="004D09EB" w:rsidRDefault="004D09EB" w:rsidP="004D09EB">
      <w:pPr>
        <w:rPr>
          <w:rFonts w:cstheme="minorHAnsi"/>
          <w:sz w:val="24"/>
          <w:szCs w:val="24"/>
        </w:rPr>
      </w:pPr>
    </w:p>
    <w:p w14:paraId="3DDDB827" w14:textId="77777777" w:rsidR="004D09EB" w:rsidRPr="00FA0460" w:rsidRDefault="004D09EB" w:rsidP="004D09EB">
      <w:pPr>
        <w:jc w:val="center"/>
        <w:rPr>
          <w:rFonts w:cstheme="minorHAnsi"/>
          <w:b/>
          <w:sz w:val="24"/>
          <w:szCs w:val="24"/>
        </w:rPr>
      </w:pPr>
      <w:r w:rsidRPr="00FA0460">
        <w:rPr>
          <w:rFonts w:cstheme="minorHAnsi"/>
          <w:b/>
          <w:sz w:val="24"/>
          <w:szCs w:val="24"/>
        </w:rPr>
        <w:t xml:space="preserve">Major </w:t>
      </w:r>
      <w:r w:rsidR="0049267B">
        <w:rPr>
          <w:rFonts w:cstheme="minorHAnsi"/>
          <w:b/>
          <w:sz w:val="24"/>
          <w:szCs w:val="24"/>
        </w:rPr>
        <w:t>Features</w:t>
      </w:r>
    </w:p>
    <w:p w14:paraId="7DEE7699" w14:textId="77777777" w:rsidR="004D09EB" w:rsidRPr="00FA0460" w:rsidRDefault="004D09EB" w:rsidP="004D09EB">
      <w:pPr>
        <w:rPr>
          <w:rFonts w:cstheme="minorHAnsi"/>
          <w:sz w:val="24"/>
          <w:szCs w:val="24"/>
        </w:rPr>
      </w:pPr>
    </w:p>
    <w:p w14:paraId="4048C1E5" w14:textId="77777777" w:rsidR="00EF75B5" w:rsidRPr="00EF75B5" w:rsidRDefault="004D09EB" w:rsidP="00EF75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 xml:space="preserve">At the top of the document, there is probably no need for the </w:t>
      </w:r>
      <w:r w:rsidR="00A40EC7">
        <w:rPr>
          <w:rFonts w:cstheme="minorHAnsi"/>
          <w:sz w:val="24"/>
          <w:szCs w:val="24"/>
        </w:rPr>
        <w:t>information in the sections “recipient” and “where”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I’ve fixed this.</w:t>
      </w:r>
    </w:p>
    <w:p w14:paraId="424340D6" w14:textId="1BA4BA02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The book is divided into sections of varying lengths, often between 20-30 folios. How will we encode such manuscript section breaks? At the moment Kate has just transcribed the Roman numeral, but presumably we’ll do this</w:t>
      </w:r>
      <w:r w:rsidR="00A40EC7">
        <w:rPr>
          <w:rFonts w:cstheme="minorHAnsi"/>
          <w:sz w:val="24"/>
          <w:szCs w:val="24"/>
        </w:rPr>
        <w:t xml:space="preserve"> in</w:t>
      </w:r>
      <w:r w:rsidRPr="00FA0460">
        <w:rPr>
          <w:rFonts w:cstheme="minorHAnsi"/>
          <w:sz w:val="24"/>
          <w:szCs w:val="24"/>
        </w:rPr>
        <w:t xml:space="preserve"> another way.</w:t>
      </w:r>
      <w:r w:rsidR="00EF75B5">
        <w:rPr>
          <w:rFonts w:cstheme="minorHAnsi"/>
          <w:sz w:val="24"/>
          <w:szCs w:val="24"/>
        </w:rPr>
        <w:t xml:space="preserve"> </w:t>
      </w:r>
      <w:r w:rsidR="00EF75B5">
        <w:rPr>
          <w:rFonts w:cstheme="minorHAnsi"/>
          <w:sz w:val="24"/>
          <w:szCs w:val="24"/>
          <w:highlight w:val="yellow"/>
        </w:rPr>
        <w:t>Go</w:t>
      </w:r>
      <w:r w:rsidR="00EF75B5" w:rsidRPr="00EF75B5">
        <w:rPr>
          <w:rFonts w:cstheme="minorHAnsi"/>
          <w:sz w:val="24"/>
          <w:szCs w:val="24"/>
          <w:highlight w:val="yellow"/>
        </w:rPr>
        <w:t xml:space="preserve"> with what the </w:t>
      </w:r>
      <w:proofErr w:type="spellStart"/>
      <w:r w:rsidR="00EF75B5" w:rsidRPr="00EF75B5">
        <w:rPr>
          <w:rFonts w:cstheme="minorHAnsi"/>
          <w:sz w:val="24"/>
          <w:szCs w:val="24"/>
          <w:highlight w:val="yellow"/>
        </w:rPr>
        <w:t>ms.</w:t>
      </w:r>
      <w:proofErr w:type="spellEnd"/>
      <w:r w:rsidR="00EF75B5" w:rsidRPr="00EF75B5">
        <w:rPr>
          <w:rFonts w:cstheme="minorHAnsi"/>
          <w:sz w:val="24"/>
          <w:szCs w:val="24"/>
          <w:highlight w:val="yellow"/>
        </w:rPr>
        <w:t xml:space="preserve"> actually contains. If Livingstone is dividing sections by Roman numerals, then let’s go with Roman numerals</w:t>
      </w:r>
      <w:r w:rsidR="00EF75B5">
        <w:rPr>
          <w:rFonts w:cstheme="minorHAnsi"/>
          <w:sz w:val="24"/>
          <w:szCs w:val="24"/>
          <w:highlight w:val="yellow"/>
        </w:rPr>
        <w:t>. Does this answer you question? Divisions will also be signalled, for now any</w:t>
      </w:r>
      <w:r w:rsidR="00F14593">
        <w:rPr>
          <w:rFonts w:cstheme="minorHAnsi"/>
          <w:sz w:val="24"/>
          <w:szCs w:val="24"/>
          <w:highlight w:val="yellow"/>
        </w:rPr>
        <w:t>way, with the differe</w:t>
      </w:r>
      <w:r w:rsidR="00EF75B5">
        <w:rPr>
          <w:rFonts w:cstheme="minorHAnsi"/>
          <w:sz w:val="24"/>
          <w:szCs w:val="24"/>
          <w:highlight w:val="yellow"/>
        </w:rPr>
        <w:t>nt sect files.</w:t>
      </w:r>
    </w:p>
    <w:p w14:paraId="291B38FF" w14:textId="77777777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The manuscript page numbers in the top right hand corner do not correspon</w:t>
      </w:r>
      <w:r w:rsidR="007E63FB">
        <w:rPr>
          <w:rFonts w:cstheme="minorHAnsi"/>
          <w:sz w:val="24"/>
          <w:szCs w:val="24"/>
        </w:rPr>
        <w:t xml:space="preserve">d to the file </w:t>
      </w:r>
      <w:proofErr w:type="gramStart"/>
      <w:r w:rsidR="007E63FB">
        <w:rPr>
          <w:rFonts w:cstheme="minorHAnsi"/>
          <w:sz w:val="24"/>
          <w:szCs w:val="24"/>
        </w:rPr>
        <w:t>numbers which</w:t>
      </w:r>
      <w:proofErr w:type="gramEnd"/>
      <w:r w:rsidR="007E63FB">
        <w:rPr>
          <w:rFonts w:cstheme="minorHAnsi"/>
          <w:sz w:val="24"/>
          <w:szCs w:val="24"/>
        </w:rPr>
        <w:t xml:space="preserve"> we’ve decided to encode</w:t>
      </w:r>
      <w:r w:rsidRPr="00FA0460">
        <w:rPr>
          <w:rFonts w:cstheme="minorHAnsi"/>
          <w:sz w:val="24"/>
          <w:szCs w:val="24"/>
        </w:rPr>
        <w:t xml:space="preserve"> as the document’s page number (ie0004). Do these numbers in the top right hand corner need to be encoded in a particular way? There are sometimes two such numbers, in different hands (see p.0009).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 xml:space="preserve">We need James to advise on this, as we’ll want to retain all three sets of numbers: file name, original numbers, </w:t>
      </w:r>
      <w:proofErr w:type="gramStart"/>
      <w:r w:rsidR="00EF75B5" w:rsidRPr="00EF75B5">
        <w:rPr>
          <w:rFonts w:cstheme="minorHAnsi"/>
          <w:sz w:val="24"/>
          <w:szCs w:val="24"/>
          <w:highlight w:val="yellow"/>
        </w:rPr>
        <w:t>additional</w:t>
      </w:r>
      <w:proofErr w:type="gramEnd"/>
      <w:r w:rsidR="00EF75B5" w:rsidRPr="00EF75B5">
        <w:rPr>
          <w:rFonts w:cstheme="minorHAnsi"/>
          <w:sz w:val="24"/>
          <w:szCs w:val="24"/>
          <w:highlight w:val="yellow"/>
        </w:rPr>
        <w:t xml:space="preserve"> numbers.</w:t>
      </w:r>
    </w:p>
    <w:p w14:paraId="14664DA8" w14:textId="77777777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 xml:space="preserve">There are multiple hands used in the text. At the moment, Kate has marked up unknown hands in this way: </w:t>
      </w:r>
      <w:r w:rsidRPr="00FA0460">
        <w:rPr>
          <w:rFonts w:cstheme="minorHAnsi"/>
          <w:color w:val="000096"/>
          <w:sz w:val="24"/>
          <w:szCs w:val="24"/>
        </w:rPr>
        <w:t>&lt;add</w:t>
      </w:r>
      <w:r w:rsidRPr="00FA0460">
        <w:rPr>
          <w:rFonts w:cstheme="minorHAnsi"/>
          <w:color w:val="F5844C"/>
          <w:sz w:val="24"/>
          <w:szCs w:val="24"/>
        </w:rPr>
        <w:t xml:space="preserve"> place</w:t>
      </w:r>
      <w:r w:rsidRPr="00FA0460">
        <w:rPr>
          <w:rFonts w:cstheme="minorHAnsi"/>
          <w:color w:val="FF8040"/>
          <w:sz w:val="24"/>
          <w:szCs w:val="24"/>
        </w:rPr>
        <w:t>=</w:t>
      </w:r>
      <w:r w:rsidRPr="00FA0460">
        <w:rPr>
          <w:rFonts w:cstheme="minorHAnsi"/>
          <w:color w:val="993300"/>
          <w:sz w:val="24"/>
          <w:szCs w:val="24"/>
        </w:rPr>
        <w:t>"inline"</w:t>
      </w:r>
      <w:r w:rsidRPr="00FA0460">
        <w:rPr>
          <w:rFonts w:cstheme="minorHAnsi"/>
          <w:color w:val="F5844C"/>
          <w:sz w:val="24"/>
          <w:szCs w:val="24"/>
        </w:rPr>
        <w:t xml:space="preserve"> hand</w:t>
      </w:r>
      <w:r w:rsidRPr="00FA0460">
        <w:rPr>
          <w:rFonts w:cstheme="minorHAnsi"/>
          <w:color w:val="FF8040"/>
          <w:sz w:val="24"/>
          <w:szCs w:val="24"/>
        </w:rPr>
        <w:t>=</w:t>
      </w:r>
      <w:r w:rsidRPr="00FA0460">
        <w:rPr>
          <w:rFonts w:cstheme="minorHAnsi"/>
          <w:color w:val="993300"/>
          <w:sz w:val="24"/>
          <w:szCs w:val="24"/>
        </w:rPr>
        <w:t>"U"</w:t>
      </w:r>
      <w:r w:rsidRPr="00FA0460">
        <w:rPr>
          <w:rFonts w:cstheme="minorHAnsi"/>
          <w:color w:val="000096"/>
          <w:sz w:val="24"/>
          <w:szCs w:val="24"/>
        </w:rPr>
        <w:t xml:space="preserve">&gt;. </w:t>
      </w:r>
      <w:r w:rsidRPr="00FA0460">
        <w:rPr>
          <w:rFonts w:cstheme="minorHAnsi"/>
          <w:sz w:val="24"/>
          <w:szCs w:val="24"/>
        </w:rPr>
        <w:t>There are at least two of these in the manuscript</w:t>
      </w:r>
      <w:proofErr w:type="gramStart"/>
      <w:r w:rsidRPr="00FA0460">
        <w:rPr>
          <w:rFonts w:cstheme="minorHAnsi"/>
          <w:sz w:val="24"/>
          <w:szCs w:val="24"/>
        </w:rPr>
        <w:t>;</w:t>
      </w:r>
      <w:proofErr w:type="gramEnd"/>
      <w:r w:rsidRPr="00FA0460">
        <w:rPr>
          <w:rFonts w:cstheme="minorHAnsi"/>
          <w:sz w:val="24"/>
          <w:szCs w:val="24"/>
        </w:rPr>
        <w:t xml:space="preserve"> one that marks in red (Murray’s copyeditor, I think – see 0093) and another that marks in pencil (possibly a later curator or archivist – see 0092). Kate suggests using a mark up tag such as element &lt;edit&gt; attribute  &lt;pencil&gt;. What do you think? How shall we differentiate between these hands, particularly if the individuals remain unknown?</w:t>
      </w:r>
      <w:r w:rsidR="00A33831">
        <w:rPr>
          <w:rFonts w:cstheme="minorHAnsi"/>
          <w:sz w:val="24"/>
          <w:szCs w:val="24"/>
        </w:rPr>
        <w:t xml:space="preserve"> Is there perhaps a way of numbering them as unknown hand 1 and 2 for </w:t>
      </w:r>
      <w:proofErr w:type="gramStart"/>
      <w:r w:rsidR="00A33831">
        <w:rPr>
          <w:rFonts w:cstheme="minorHAnsi"/>
          <w:sz w:val="24"/>
          <w:szCs w:val="24"/>
        </w:rPr>
        <w:t>instance.</w:t>
      </w:r>
      <w:proofErr w:type="gramEnd"/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Agreed that this needs to be addressed. See my comments in the sect01 document. James can advise further.</w:t>
      </w:r>
      <w:r w:rsidR="00EF75B5">
        <w:rPr>
          <w:rFonts w:cstheme="minorHAnsi"/>
          <w:sz w:val="24"/>
          <w:szCs w:val="24"/>
        </w:rPr>
        <w:t xml:space="preserve"> </w:t>
      </w:r>
    </w:p>
    <w:p w14:paraId="33BDD04B" w14:textId="77777777" w:rsidR="004D09EB" w:rsidRPr="00FA0460" w:rsidRDefault="004D09EB" w:rsidP="00EF75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 xml:space="preserve">Much of the material added by Livingstone to the body of the text is in the margins. However, he often draws a line from the margin to the place in the text that the material should be inserted. Shall we encode such lines and arrows? Another example </w:t>
      </w:r>
      <w:r>
        <w:rPr>
          <w:rFonts w:cstheme="minorHAnsi"/>
          <w:sz w:val="24"/>
          <w:szCs w:val="24"/>
        </w:rPr>
        <w:t xml:space="preserve">of </w:t>
      </w:r>
      <w:r w:rsidRPr="00FA0460">
        <w:rPr>
          <w:rFonts w:cstheme="minorHAnsi"/>
          <w:sz w:val="24"/>
          <w:szCs w:val="24"/>
        </w:rPr>
        <w:t>a mark we might want to encode is the double line Livingstone draws above the first paragraph on 0092.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James can advise on this.</w:t>
      </w:r>
    </w:p>
    <w:p w14:paraId="13EC91CF" w14:textId="77777777" w:rsidR="004D09EB" w:rsidRPr="00FA0460" w:rsidRDefault="004D09EB" w:rsidP="004D09EB">
      <w:pPr>
        <w:rPr>
          <w:rFonts w:cstheme="minorHAnsi"/>
          <w:sz w:val="24"/>
          <w:szCs w:val="24"/>
        </w:rPr>
      </w:pPr>
    </w:p>
    <w:p w14:paraId="75A26D64" w14:textId="77777777" w:rsidR="004D09EB" w:rsidRDefault="004D09EB" w:rsidP="004D09EB">
      <w:pPr>
        <w:jc w:val="center"/>
        <w:rPr>
          <w:rFonts w:cstheme="minorHAnsi"/>
          <w:b/>
          <w:sz w:val="24"/>
          <w:szCs w:val="24"/>
        </w:rPr>
      </w:pPr>
      <w:r w:rsidRPr="00FA0460">
        <w:rPr>
          <w:rFonts w:cstheme="minorHAnsi"/>
          <w:b/>
          <w:sz w:val="24"/>
          <w:szCs w:val="24"/>
        </w:rPr>
        <w:t>Other Issues</w:t>
      </w:r>
    </w:p>
    <w:p w14:paraId="734B8232" w14:textId="77777777" w:rsidR="004D09EB" w:rsidRPr="00FA0460" w:rsidRDefault="004D09EB" w:rsidP="004D09EB">
      <w:pPr>
        <w:jc w:val="center"/>
        <w:rPr>
          <w:rFonts w:cstheme="minorHAnsi"/>
          <w:b/>
          <w:sz w:val="24"/>
          <w:szCs w:val="24"/>
        </w:rPr>
      </w:pPr>
    </w:p>
    <w:p w14:paraId="32CEB585" w14:textId="77777777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How shall we mark up other nationalities? “Tribe” doesn’t seem appropriate for this.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James.</w:t>
      </w:r>
    </w:p>
    <w:p w14:paraId="3F1684CF" w14:textId="77777777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Shall we include corrections of Livingstone’s spelling (for example the mistake he makes using words with ‘</w:t>
      </w:r>
      <w:proofErr w:type="spellStart"/>
      <w:r w:rsidRPr="00FA0460">
        <w:rPr>
          <w:rFonts w:cstheme="minorHAnsi"/>
          <w:sz w:val="24"/>
          <w:szCs w:val="24"/>
        </w:rPr>
        <w:t>ei</w:t>
      </w:r>
      <w:proofErr w:type="spellEnd"/>
      <w:r w:rsidRPr="00FA0460">
        <w:rPr>
          <w:rFonts w:cstheme="minorHAnsi"/>
          <w:sz w:val="24"/>
          <w:szCs w:val="24"/>
        </w:rPr>
        <w:t>’, for example ‘</w:t>
      </w:r>
      <w:proofErr w:type="spellStart"/>
      <w:r w:rsidRPr="00FA0460">
        <w:rPr>
          <w:rFonts w:cstheme="minorHAnsi"/>
          <w:sz w:val="24"/>
          <w:szCs w:val="24"/>
        </w:rPr>
        <w:t>recieve</w:t>
      </w:r>
      <w:proofErr w:type="spellEnd"/>
      <w:r w:rsidRPr="00FA0460">
        <w:rPr>
          <w:rFonts w:cstheme="minorHAnsi"/>
          <w:sz w:val="24"/>
          <w:szCs w:val="24"/>
        </w:rPr>
        <w:t xml:space="preserve">’)? At the moment, we’ve </w:t>
      </w:r>
      <w:r w:rsidR="00A33831">
        <w:rPr>
          <w:rFonts w:cstheme="minorHAnsi"/>
          <w:sz w:val="24"/>
          <w:szCs w:val="24"/>
        </w:rPr>
        <w:t>corrected</w:t>
      </w:r>
      <w:r w:rsidRPr="00FA0460">
        <w:rPr>
          <w:rFonts w:cstheme="minorHAnsi"/>
          <w:sz w:val="24"/>
          <w:szCs w:val="24"/>
        </w:rPr>
        <w:t xml:space="preserve"> </w:t>
      </w:r>
      <w:r w:rsidR="00A33831">
        <w:rPr>
          <w:rFonts w:cstheme="minorHAnsi"/>
          <w:sz w:val="24"/>
          <w:szCs w:val="24"/>
        </w:rPr>
        <w:t xml:space="preserve">it </w:t>
      </w:r>
      <w:r w:rsidR="00A33831">
        <w:rPr>
          <w:rFonts w:cstheme="minorHAnsi"/>
          <w:sz w:val="24"/>
          <w:szCs w:val="24"/>
        </w:rPr>
        <w:lastRenderedPageBreak/>
        <w:t>somewhat</w:t>
      </w:r>
      <w:r w:rsidRPr="00FA0460">
        <w:rPr>
          <w:rFonts w:cstheme="minorHAnsi"/>
          <w:sz w:val="24"/>
          <w:szCs w:val="24"/>
        </w:rPr>
        <w:t xml:space="preserve"> inconsistently</w:t>
      </w:r>
      <w:r w:rsidR="00EF75B5">
        <w:rPr>
          <w:rFonts w:cstheme="minorHAnsi"/>
          <w:sz w:val="24"/>
          <w:szCs w:val="24"/>
        </w:rPr>
        <w:t xml:space="preserve">. </w:t>
      </w:r>
      <w:r w:rsidR="00EF75B5" w:rsidRPr="00EF75B5">
        <w:rPr>
          <w:rFonts w:cstheme="minorHAnsi"/>
          <w:sz w:val="24"/>
          <w:szCs w:val="24"/>
          <w:highlight w:val="yellow"/>
        </w:rPr>
        <w:t>Correct consistently. That’s what we’ve done in the past. Using the &lt;choice&gt;&lt;sic&gt;&lt;</w:t>
      </w:r>
      <w:proofErr w:type="spellStart"/>
      <w:r w:rsidR="00EF75B5" w:rsidRPr="00EF75B5">
        <w:rPr>
          <w:rFonts w:cstheme="minorHAnsi"/>
          <w:sz w:val="24"/>
          <w:szCs w:val="24"/>
          <w:highlight w:val="yellow"/>
        </w:rPr>
        <w:t>corr</w:t>
      </w:r>
      <w:proofErr w:type="spellEnd"/>
      <w:r w:rsidR="00EF75B5" w:rsidRPr="00EF75B5">
        <w:rPr>
          <w:rFonts w:cstheme="minorHAnsi"/>
          <w:sz w:val="24"/>
          <w:szCs w:val="24"/>
          <w:highlight w:val="yellow"/>
        </w:rPr>
        <w:t>&gt; tags.</w:t>
      </w:r>
    </w:p>
    <w:p w14:paraId="5DF1DCB4" w14:textId="74338989" w:rsidR="004D09EB" w:rsidRPr="00FA0460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>Shall we encode indente</w:t>
      </w:r>
      <w:r w:rsidR="007E657A">
        <w:rPr>
          <w:rFonts w:cstheme="minorHAnsi"/>
          <w:sz w:val="24"/>
          <w:szCs w:val="24"/>
        </w:rPr>
        <w:t>d paragraphs? Would encoding them</w:t>
      </w:r>
      <w:r w:rsidR="00DC7EFE">
        <w:rPr>
          <w:rFonts w:cstheme="minorHAnsi"/>
          <w:sz w:val="24"/>
          <w:szCs w:val="24"/>
        </w:rPr>
        <w:t xml:space="preserve"> as 5 or 6</w:t>
      </w:r>
      <w:r w:rsidRPr="00FA0460">
        <w:rPr>
          <w:rFonts w:cstheme="minorHAnsi"/>
          <w:sz w:val="24"/>
          <w:szCs w:val="24"/>
        </w:rPr>
        <w:t xml:space="preserve"> spaces work?</w:t>
      </w:r>
      <w:r w:rsidR="00EF75B5">
        <w:rPr>
          <w:rFonts w:cstheme="minorHAnsi"/>
          <w:sz w:val="24"/>
          <w:szCs w:val="24"/>
        </w:rPr>
        <w:t xml:space="preserve"> </w:t>
      </w:r>
      <w:r w:rsidR="00F14593" w:rsidRPr="00F14593">
        <w:rPr>
          <w:rFonts w:cstheme="minorHAnsi"/>
          <w:sz w:val="24"/>
          <w:szCs w:val="24"/>
          <w:highlight w:val="yellow"/>
        </w:rPr>
        <w:t>See my notes on this in sect01.</w:t>
      </w:r>
    </w:p>
    <w:p w14:paraId="22ACC7A0" w14:textId="77777777" w:rsidR="004D09EB" w:rsidRDefault="004D09E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0460">
        <w:rPr>
          <w:rFonts w:cstheme="minorHAnsi"/>
          <w:sz w:val="24"/>
          <w:szCs w:val="24"/>
        </w:rPr>
        <w:t xml:space="preserve">Kate wonders if we should retain the American style of date to ensure consistency with Livingstone Online. </w:t>
      </w:r>
      <w:r w:rsidRPr="00EF75B5">
        <w:rPr>
          <w:rFonts w:cstheme="minorHAnsi"/>
          <w:sz w:val="24"/>
          <w:szCs w:val="24"/>
          <w:highlight w:val="yellow"/>
        </w:rPr>
        <w:t>I think we should.</w:t>
      </w:r>
      <w:r w:rsidR="00EF75B5" w:rsidRPr="00EF75B5">
        <w:rPr>
          <w:rFonts w:cstheme="minorHAnsi"/>
          <w:sz w:val="24"/>
          <w:szCs w:val="24"/>
          <w:highlight w:val="yellow"/>
        </w:rPr>
        <w:t xml:space="preserve"> I’ve addressed that in the relevant place in sect01.</w:t>
      </w:r>
    </w:p>
    <w:p w14:paraId="5972FD9F" w14:textId="77777777" w:rsidR="0049267B" w:rsidRDefault="0049267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shall we mark up</w:t>
      </w:r>
      <w:r w:rsidR="004767C1">
        <w:rPr>
          <w:rFonts w:cstheme="minorHAnsi"/>
          <w:sz w:val="24"/>
          <w:szCs w:val="24"/>
        </w:rPr>
        <w:t xml:space="preserve"> geographical areas in Scotland?</w:t>
      </w:r>
      <w:r>
        <w:rPr>
          <w:rFonts w:cstheme="minorHAnsi"/>
          <w:sz w:val="24"/>
          <w:szCs w:val="24"/>
        </w:rPr>
        <w:t xml:space="preserve"> Should </w:t>
      </w:r>
      <w:proofErr w:type="spellStart"/>
      <w:r>
        <w:rPr>
          <w:rFonts w:cstheme="minorHAnsi"/>
          <w:sz w:val="24"/>
          <w:szCs w:val="24"/>
        </w:rPr>
        <w:t>Ulva</w:t>
      </w:r>
      <w:proofErr w:type="spellEnd"/>
      <w:r>
        <w:rPr>
          <w:rFonts w:cstheme="minorHAnsi"/>
          <w:sz w:val="24"/>
          <w:szCs w:val="24"/>
        </w:rPr>
        <w:t xml:space="preserve"> for instance be tagged as an “island”?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See sect01 for my notes.</w:t>
      </w:r>
    </w:p>
    <w:p w14:paraId="2B7894F4" w14:textId="77777777" w:rsidR="0049267B" w:rsidRPr="00EF75B5" w:rsidRDefault="0049267B" w:rsidP="00EF75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 Cape still being marked up as a “region”?</w:t>
      </w:r>
      <w:r w:rsidR="00EF75B5">
        <w:rPr>
          <w:rFonts w:cstheme="minorHAnsi"/>
          <w:sz w:val="24"/>
          <w:szCs w:val="24"/>
        </w:rPr>
        <w:t xml:space="preserve"> </w:t>
      </w:r>
      <w:r w:rsidR="00EF75B5" w:rsidRPr="00EF75B5">
        <w:rPr>
          <w:rFonts w:cstheme="minorHAnsi"/>
          <w:sz w:val="24"/>
          <w:szCs w:val="24"/>
          <w:highlight w:val="yellow"/>
        </w:rPr>
        <w:t>See sect01 for my notes.</w:t>
      </w:r>
    </w:p>
    <w:p w14:paraId="4BF72676" w14:textId="33310B72" w:rsidR="0049267B" w:rsidRPr="00FA0460" w:rsidRDefault="0049267B" w:rsidP="004D09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cases of overwriting, when the word below is illegible, will we still encode the evidence of the word below?</w:t>
      </w:r>
      <w:r w:rsidR="00F14593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F14593" w:rsidRPr="00F14593">
        <w:rPr>
          <w:rFonts w:cstheme="minorHAnsi"/>
          <w:sz w:val="24"/>
          <w:szCs w:val="24"/>
          <w:highlight w:val="yellow"/>
        </w:rPr>
        <w:t>Yes, see the cheat sheet and use the &lt;gap/&gt; element for the deleted, illegible element.</w:t>
      </w:r>
    </w:p>
    <w:p w14:paraId="638B6431" w14:textId="77777777" w:rsidR="004D09EB" w:rsidRPr="00C351E6" w:rsidRDefault="004D09EB" w:rsidP="004D09EB">
      <w:pPr>
        <w:pStyle w:val="ListParagraph"/>
      </w:pPr>
    </w:p>
    <w:p w14:paraId="758F9825" w14:textId="77777777" w:rsidR="004D09EB" w:rsidRPr="000D061D" w:rsidRDefault="004D09EB" w:rsidP="004D09EB">
      <w:pPr>
        <w:pStyle w:val="ListParagraph"/>
      </w:pPr>
    </w:p>
    <w:p w14:paraId="20CCB64F" w14:textId="77777777" w:rsidR="00EF75B5" w:rsidRDefault="00EF75B5"/>
    <w:sectPr w:rsidR="00EF75B5" w:rsidSect="005E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611F"/>
    <w:multiLevelType w:val="hybridMultilevel"/>
    <w:tmpl w:val="08E8FEDE"/>
    <w:lvl w:ilvl="0" w:tplc="CBA0689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9EB"/>
    <w:rsid w:val="00346960"/>
    <w:rsid w:val="004767C1"/>
    <w:rsid w:val="0049267B"/>
    <w:rsid w:val="004A1A25"/>
    <w:rsid w:val="004D09EB"/>
    <w:rsid w:val="00533ADE"/>
    <w:rsid w:val="005B1A54"/>
    <w:rsid w:val="005E42B0"/>
    <w:rsid w:val="007E63FB"/>
    <w:rsid w:val="007E657A"/>
    <w:rsid w:val="00A33831"/>
    <w:rsid w:val="00A40EC7"/>
    <w:rsid w:val="00DC7EFE"/>
    <w:rsid w:val="00EF75B5"/>
    <w:rsid w:val="00F14593"/>
    <w:rsid w:val="00F27AEF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333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513</Words>
  <Characters>2929</Characters>
  <Application>Microsoft Macintosh Word</Application>
  <DocSecurity>0</DocSecurity>
  <Lines>24</Lines>
  <Paragraphs>6</Paragraphs>
  <ScaleCrop>false</ScaleCrop>
  <Company>University of Glasgow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jl211b</dc:creator>
  <cp:lastModifiedBy>User</cp:lastModifiedBy>
  <cp:revision>10</cp:revision>
  <dcterms:created xsi:type="dcterms:W3CDTF">2013-12-10T14:43:00Z</dcterms:created>
  <dcterms:modified xsi:type="dcterms:W3CDTF">2013-12-13T20:28:00Z</dcterms:modified>
</cp:coreProperties>
</file>