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780B21F" w14:textId="6F354845" w:rsidR="00C329C7" w:rsidRDefault="004E469E"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U</w:t>
      </w:r>
      <w:r w:rsidR="00C329C7">
        <w:rPr>
          <w:rFonts w:asciiTheme="majorHAnsi" w:hAnsiTheme="majorHAnsi"/>
          <w:color w:val="FABF8F" w:themeColor="accent6" w:themeTint="99"/>
          <w:sz w:val="32"/>
          <w:szCs w:val="32"/>
        </w:rPr>
        <w:t>nderlying complexities of origin and identity aside, Livingstone’s act</w:t>
      </w:r>
      <w:r w:rsidR="004201B0">
        <w:rPr>
          <w:rFonts w:asciiTheme="majorHAnsi" w:hAnsiTheme="majorHAnsi"/>
          <w:color w:val="FABF8F" w:themeColor="accent6" w:themeTint="99"/>
          <w:sz w:val="32"/>
          <w:szCs w:val="32"/>
        </w:rPr>
        <w:t xml:space="preserve"> (however motivated)</w:t>
      </w:r>
      <w:r w:rsidR="00C329C7">
        <w:rPr>
          <w:rFonts w:asciiTheme="majorHAnsi" w:hAnsiTheme="majorHAnsi"/>
          <w:color w:val="FABF8F" w:themeColor="accent6" w:themeTint="99"/>
          <w:sz w:val="32"/>
          <w:szCs w:val="32"/>
        </w:rPr>
        <w:t xml:space="preserve"> in the 1870 Field Diary of naming the local population</w:t>
      </w:r>
      <w:r>
        <w:rPr>
          <w:rFonts w:asciiTheme="majorHAnsi" w:hAnsiTheme="majorHAnsi"/>
          <w:color w:val="FABF8F" w:themeColor="accent6" w:themeTint="99"/>
          <w:sz w:val="32"/>
          <w:szCs w:val="32"/>
        </w:rPr>
        <w:t xml:space="preserve"> </w:t>
      </w:r>
      <w:r w:rsidR="00C329C7">
        <w:rPr>
          <w:rFonts w:asciiTheme="majorHAnsi" w:hAnsiTheme="majorHAnsi"/>
          <w:color w:val="FABF8F" w:themeColor="accent6" w:themeTint="99"/>
          <w:sz w:val="32"/>
          <w:szCs w:val="32"/>
        </w:rPr>
        <w:t>and fixing it in at Bambarre or more regionally has an important discursive implication.</w:t>
      </w:r>
    </w:p>
    <w:p w14:paraId="3DFF69FB" w14:textId="77777777" w:rsidR="00B801C6" w:rsidRDefault="00B801C6" w:rsidP="005C7845">
      <w:pPr>
        <w:rPr>
          <w:rFonts w:asciiTheme="majorHAnsi" w:hAnsiTheme="majorHAnsi"/>
          <w:color w:val="FABF8F" w:themeColor="accent6" w:themeTint="99"/>
          <w:sz w:val="32"/>
          <w:szCs w:val="32"/>
        </w:rPr>
      </w:pPr>
    </w:p>
    <w:p w14:paraId="0A918507" w14:textId="113EAEBF" w:rsidR="00B801C6" w:rsidRDefault="00B801C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act enables Livingstone to introduce a key set of </w:t>
      </w:r>
      <w:r w:rsidR="00B02466">
        <w:rPr>
          <w:rFonts w:asciiTheme="majorHAnsi" w:hAnsiTheme="majorHAnsi"/>
          <w:color w:val="FABF8F" w:themeColor="accent6" w:themeTint="99"/>
          <w:sz w:val="32"/>
          <w:szCs w:val="32"/>
        </w:rPr>
        <w:t xml:space="preserve">protagonists into his narrative, to characterize them, and to show that they live out of the world or, at Livingstone and many others after him do, to point to “the isolation in which they live” – </w:t>
      </w:r>
      <w:r w:rsidR="0073387E">
        <w:rPr>
          <w:rFonts w:asciiTheme="majorHAnsi" w:hAnsiTheme="majorHAnsi"/>
          <w:color w:val="FABF8F" w:themeColor="accent6" w:themeTint="99"/>
          <w:sz w:val="32"/>
          <w:szCs w:val="32"/>
        </w:rPr>
        <w:t>as</w:t>
      </w:r>
      <w:r w:rsidR="004201B0">
        <w:rPr>
          <w:rFonts w:asciiTheme="majorHAnsi" w:hAnsiTheme="majorHAnsi"/>
          <w:color w:val="FABF8F" w:themeColor="accent6" w:themeTint="99"/>
          <w:sz w:val="32"/>
          <w:szCs w:val="32"/>
        </w:rPr>
        <w:t xml:space="preserve"> the fragmentary</w:t>
      </w:r>
      <w:r w:rsidR="0073387E">
        <w:rPr>
          <w:rFonts w:asciiTheme="majorHAnsi" w:hAnsiTheme="majorHAnsi"/>
          <w:color w:val="FABF8F" w:themeColor="accent6" w:themeTint="99"/>
          <w:sz w:val="32"/>
          <w:szCs w:val="32"/>
        </w:rPr>
        <w:t>, opening</w:t>
      </w:r>
      <w:r w:rsidR="004201B0">
        <w:rPr>
          <w:rFonts w:asciiTheme="majorHAnsi" w:hAnsiTheme="majorHAnsi"/>
          <w:color w:val="FABF8F" w:themeColor="accent6" w:themeTint="99"/>
          <w:sz w:val="32"/>
          <w:szCs w:val="32"/>
        </w:rPr>
        <w:t xml:space="preserve"> phrase </w:t>
      </w:r>
      <w:r w:rsidR="0073387E">
        <w:rPr>
          <w:rFonts w:asciiTheme="majorHAnsi" w:hAnsiTheme="majorHAnsi"/>
          <w:color w:val="FABF8F" w:themeColor="accent6" w:themeTint="99"/>
          <w:sz w:val="32"/>
          <w:szCs w:val="32"/>
        </w:rPr>
        <w:t xml:space="preserve">of the </w:t>
      </w:r>
      <w:r w:rsidR="00B02466">
        <w:rPr>
          <w:rFonts w:asciiTheme="majorHAnsi" w:hAnsiTheme="majorHAnsi"/>
          <w:color w:val="FABF8F" w:themeColor="accent6" w:themeTint="99"/>
          <w:sz w:val="32"/>
          <w:szCs w:val="32"/>
        </w:rPr>
        <w:t>1870 Field Diary</w:t>
      </w:r>
      <w:r w:rsidR="0073387E">
        <w:rPr>
          <w:rFonts w:asciiTheme="majorHAnsi" w:hAnsiTheme="majorHAnsi"/>
          <w:color w:val="FABF8F" w:themeColor="accent6" w:themeTint="99"/>
          <w:sz w:val="32"/>
          <w:szCs w:val="32"/>
        </w:rPr>
        <w:t xml:space="preserve"> puts it</w:t>
      </w:r>
      <w:r w:rsidR="00B02466">
        <w:rPr>
          <w:rFonts w:asciiTheme="majorHAnsi" w:hAnsiTheme="majorHAnsi"/>
          <w:color w:val="FABF8F" w:themeColor="accent6" w:themeTint="99"/>
          <w:sz w:val="32"/>
          <w:szCs w:val="32"/>
        </w:rPr>
        <w:t xml:space="preserve"> (1870a:[1]</w:t>
      </w:r>
      <w:r w:rsidR="00B47FF0">
        <w:rPr>
          <w:rFonts w:asciiTheme="majorHAnsi" w:hAnsiTheme="majorHAnsi"/>
          <w:color w:val="FABF8F" w:themeColor="accent6" w:themeTint="99"/>
          <w:sz w:val="32"/>
          <w:szCs w:val="32"/>
        </w:rPr>
        <w:t>, cf., e.g., Northrup 1988:19-20</w:t>
      </w:r>
      <w:r w:rsidR="00B02466">
        <w:rPr>
          <w:rFonts w:asciiTheme="majorHAnsi" w:hAnsiTheme="majorHAnsi"/>
          <w:color w:val="FABF8F" w:themeColor="accent6" w:themeTint="99"/>
          <w:sz w:val="32"/>
          <w:szCs w:val="32"/>
        </w:rPr>
        <w:t xml:space="preserve">). </w:t>
      </w:r>
    </w:p>
    <w:p w14:paraId="44987A47" w14:textId="77777777" w:rsidR="004201B0" w:rsidRDefault="004201B0" w:rsidP="005C7845">
      <w:pPr>
        <w:rPr>
          <w:rFonts w:asciiTheme="majorHAnsi" w:hAnsiTheme="majorHAnsi"/>
          <w:color w:val="FABF8F" w:themeColor="accent6" w:themeTint="99"/>
          <w:sz w:val="32"/>
          <w:szCs w:val="32"/>
        </w:rPr>
      </w:pPr>
    </w:p>
    <w:p w14:paraId="2897D4F4" w14:textId="50B89865" w:rsidR="004201B0" w:rsidRDefault="004201B0"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Against these protagonists, Livingstone’s diary pits the Arab traders and their followers, whom Livingstone also</w:t>
      </w:r>
      <w:r w:rsidR="000C2EEE">
        <w:rPr>
          <w:rFonts w:asciiTheme="majorHAnsi" w:hAnsiTheme="majorHAnsi"/>
          <w:color w:val="FABF8F" w:themeColor="accent6" w:themeTint="99"/>
          <w:sz w:val="32"/>
          <w:szCs w:val="32"/>
        </w:rPr>
        <w:t xml:space="preserve"> repeatedly</w:t>
      </w:r>
      <w:r>
        <w:rPr>
          <w:rFonts w:asciiTheme="majorHAnsi" w:hAnsiTheme="majorHAnsi"/>
          <w:color w:val="FABF8F" w:themeColor="accent6" w:themeTint="99"/>
          <w:sz w:val="32"/>
          <w:szCs w:val="32"/>
        </w:rPr>
        <w:t xml:space="preserve"> distinguishes as the “Ujijians” or “Ujijian traders” (</w:t>
      </w:r>
      <w:r w:rsidR="000C2EEE">
        <w:rPr>
          <w:rFonts w:asciiTheme="majorHAnsi" w:hAnsiTheme="majorHAnsi"/>
          <w:color w:val="FABF8F" w:themeColor="accent6" w:themeTint="99"/>
          <w:sz w:val="32"/>
          <w:szCs w:val="32"/>
        </w:rPr>
        <w:t xml:space="preserve">1870a:[69]; 1870e:XIII; 1870i:XXXV, XLII; </w:t>
      </w:r>
      <w:r w:rsidR="00B849E7">
        <w:rPr>
          <w:rFonts w:asciiTheme="majorHAnsi" w:hAnsiTheme="majorHAnsi"/>
          <w:color w:val="FABF8F" w:themeColor="accent6" w:themeTint="99"/>
          <w:sz w:val="32"/>
          <w:szCs w:val="32"/>
        </w:rPr>
        <w:t xml:space="preserve"> 1871e:CI), thereby associating them with</w:t>
      </w:r>
      <w:r w:rsidR="00967E6A">
        <w:rPr>
          <w:rFonts w:asciiTheme="majorHAnsi" w:hAnsiTheme="majorHAnsi"/>
          <w:color w:val="FABF8F" w:themeColor="accent6" w:themeTint="99"/>
          <w:sz w:val="32"/>
          <w:szCs w:val="32"/>
        </w:rPr>
        <w:t xml:space="preserve"> what would soon become the </w:t>
      </w:r>
      <w:r w:rsidR="00716876">
        <w:rPr>
          <w:rFonts w:asciiTheme="majorHAnsi" w:hAnsiTheme="majorHAnsi"/>
          <w:color w:val="FABF8F" w:themeColor="accent6" w:themeTint="99"/>
          <w:sz w:val="32"/>
          <w:szCs w:val="32"/>
        </w:rPr>
        <w:t xml:space="preserve">East African </w:t>
      </w:r>
      <w:r w:rsidR="00967E6A">
        <w:rPr>
          <w:rFonts w:asciiTheme="majorHAnsi" w:hAnsiTheme="majorHAnsi"/>
          <w:color w:val="FABF8F" w:themeColor="accent6" w:themeTint="99"/>
          <w:sz w:val="32"/>
          <w:szCs w:val="32"/>
        </w:rPr>
        <w:t>gateway</w:t>
      </w:r>
      <w:r w:rsidR="00716876">
        <w:rPr>
          <w:rFonts w:asciiTheme="majorHAnsi" w:hAnsiTheme="majorHAnsi"/>
          <w:color w:val="FABF8F" w:themeColor="accent6" w:themeTint="99"/>
          <w:sz w:val="32"/>
          <w:szCs w:val="32"/>
        </w:rPr>
        <w:t xml:space="preserve"> to</w:t>
      </w:r>
      <w:r w:rsidR="00967E6A">
        <w:rPr>
          <w:rFonts w:asciiTheme="majorHAnsi" w:hAnsiTheme="majorHAnsi"/>
          <w:color w:val="FABF8F" w:themeColor="accent6" w:themeTint="99"/>
          <w:sz w:val="32"/>
          <w:szCs w:val="32"/>
        </w:rPr>
        <w:t xml:space="preserve"> and easternmost edge of Tippu Tip’s Central African trading empire (see above).</w:t>
      </w:r>
    </w:p>
    <w:p w14:paraId="7AD9507D" w14:textId="77777777" w:rsidR="00716876" w:rsidRDefault="00716876" w:rsidP="005C7845">
      <w:pPr>
        <w:rPr>
          <w:rFonts w:asciiTheme="majorHAnsi" w:hAnsiTheme="majorHAnsi"/>
          <w:color w:val="FABF8F" w:themeColor="accent6" w:themeTint="99"/>
          <w:sz w:val="32"/>
          <w:szCs w:val="32"/>
        </w:rPr>
      </w:pPr>
    </w:p>
    <w:p w14:paraId="7DF1C77D" w14:textId="77777777" w:rsidR="00716876" w:rsidRDefault="00716876" w:rsidP="005C7845">
      <w:pPr>
        <w:rPr>
          <w:rFonts w:asciiTheme="majorHAnsi" w:hAnsiTheme="majorHAnsi"/>
          <w:color w:val="FABF8F" w:themeColor="accent6" w:themeTint="99"/>
          <w:sz w:val="32"/>
          <w:szCs w:val="32"/>
        </w:rPr>
      </w:pPr>
    </w:p>
    <w:p w14:paraId="1DFDFAFB" w14:textId="312888F0" w:rsidR="00963C9A" w:rsidRDefault="00716876"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w:t>
      </w:r>
      <w:r w:rsidR="00A1184B">
        <w:rPr>
          <w:rFonts w:asciiTheme="majorHAnsi" w:hAnsiTheme="majorHAnsi"/>
          <w:color w:val="FABF8F" w:themeColor="accent6" w:themeTint="99"/>
          <w:sz w:val="32"/>
          <w:szCs w:val="32"/>
        </w:rPr>
        <w:t xml:space="preserve">working </w:t>
      </w:r>
      <w:r>
        <w:rPr>
          <w:rFonts w:asciiTheme="majorHAnsi" w:hAnsiTheme="majorHAnsi"/>
          <w:color w:val="FABF8F" w:themeColor="accent6" w:themeTint="99"/>
          <w:sz w:val="32"/>
          <w:szCs w:val="32"/>
        </w:rPr>
        <w:t>as the equivalent of a modern-day war reporter, Livingstone composes the 1870 Field Diary from a place he</w:t>
      </w:r>
      <w:r w:rsidR="00435155">
        <w:rPr>
          <w:rFonts w:asciiTheme="majorHAnsi" w:hAnsiTheme="majorHAnsi"/>
          <w:color w:val="FABF8F" w:themeColor="accent6" w:themeTint="99"/>
          <w:sz w:val="32"/>
          <w:szCs w:val="32"/>
        </w:rPr>
        <w:t xml:space="preserve"> positions as isolated, </w:t>
      </w:r>
      <w:r>
        <w:rPr>
          <w:rFonts w:asciiTheme="majorHAnsi" w:hAnsiTheme="majorHAnsi"/>
          <w:color w:val="FABF8F" w:themeColor="accent6" w:themeTint="99"/>
          <w:sz w:val="32"/>
          <w:szCs w:val="32"/>
        </w:rPr>
        <w:t>that lacks overarching local political mechanisms to regulate affairs</w:t>
      </w:r>
      <w:r w:rsidR="00435155">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and that, as noted earlier, effectively lies </w:t>
      </w:r>
      <w:r w:rsidR="0045629E">
        <w:rPr>
          <w:rFonts w:asciiTheme="majorHAnsi" w:hAnsiTheme="majorHAnsi"/>
          <w:color w:val="FABF8F" w:themeColor="accent6" w:themeTint="99"/>
          <w:sz w:val="32"/>
          <w:szCs w:val="32"/>
        </w:rPr>
        <w:t>at the edge of</w:t>
      </w:r>
      <w:r>
        <w:rPr>
          <w:rFonts w:asciiTheme="majorHAnsi" w:hAnsiTheme="majorHAnsi"/>
          <w:color w:val="FABF8F" w:themeColor="accent6" w:themeTint="99"/>
          <w:sz w:val="32"/>
          <w:szCs w:val="32"/>
        </w:rPr>
        <w:t xml:space="preserve"> the </w:t>
      </w:r>
      <w:r w:rsidR="0045629E">
        <w:rPr>
          <w:rFonts w:asciiTheme="majorHAnsi" w:hAnsiTheme="majorHAnsi"/>
          <w:color w:val="FABF8F" w:themeColor="accent6" w:themeTint="99"/>
          <w:sz w:val="32"/>
          <w:szCs w:val="32"/>
        </w:rPr>
        <w:t xml:space="preserve"> Sultan on Zanzibar’s </w:t>
      </w:r>
      <w:r>
        <w:rPr>
          <w:rFonts w:asciiTheme="majorHAnsi" w:hAnsiTheme="majorHAnsi"/>
          <w:color w:val="FABF8F" w:themeColor="accent6" w:themeTint="99"/>
          <w:sz w:val="32"/>
          <w:szCs w:val="32"/>
        </w:rPr>
        <w:t>sphere of influ</w:t>
      </w:r>
      <w:r w:rsidR="00963C9A">
        <w:rPr>
          <w:rFonts w:asciiTheme="majorHAnsi" w:hAnsiTheme="majorHAnsi"/>
          <w:color w:val="FABF8F" w:themeColor="accent6" w:themeTint="99"/>
          <w:sz w:val="32"/>
          <w:szCs w:val="32"/>
        </w:rPr>
        <w:t>ence.</w:t>
      </w:r>
    </w:p>
    <w:p w14:paraId="0D532501" w14:textId="77777777" w:rsidR="00963C9A" w:rsidRDefault="00963C9A" w:rsidP="005C7845">
      <w:pPr>
        <w:rPr>
          <w:rFonts w:asciiTheme="majorHAnsi" w:hAnsiTheme="majorHAnsi"/>
          <w:color w:val="FABF8F" w:themeColor="accent6" w:themeTint="99"/>
          <w:sz w:val="32"/>
          <w:szCs w:val="32"/>
        </w:rPr>
      </w:pPr>
    </w:p>
    <w:p w14:paraId="7D6C006E" w14:textId="7B1A3DF8" w:rsidR="00BE493F" w:rsidRDefault="00BE493F"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such a</w:t>
      </w:r>
      <w:r w:rsidR="00762CC3">
        <w:rPr>
          <w:rFonts w:asciiTheme="majorHAnsi" w:hAnsiTheme="majorHAnsi"/>
          <w:color w:val="FABF8F" w:themeColor="accent6" w:themeTint="99"/>
          <w:sz w:val="32"/>
          <w:szCs w:val="32"/>
        </w:rPr>
        <w:t xml:space="preserve"> distant and</w:t>
      </w:r>
      <w:r w:rsidR="00E43B0D">
        <w:rPr>
          <w:rFonts w:asciiTheme="majorHAnsi" w:hAnsiTheme="majorHAnsi"/>
          <w:color w:val="FABF8F" w:themeColor="accent6" w:themeTint="99"/>
          <w:sz w:val="32"/>
          <w:szCs w:val="32"/>
        </w:rPr>
        <w:t xml:space="preserve"> lawless</w:t>
      </w:r>
      <w:r>
        <w:rPr>
          <w:rFonts w:asciiTheme="majorHAnsi" w:hAnsiTheme="majorHAnsi"/>
          <w:color w:val="FABF8F" w:themeColor="accent6" w:themeTint="99"/>
          <w:sz w:val="32"/>
          <w:szCs w:val="32"/>
        </w:rPr>
        <w:t xml:space="preserve"> place, the 1870 Field Diary suggests by turns, someone who refrains from violence can be a friend of the local population (1870a:[49]), a coward (1870e:XIII), or a dependant of the </w:t>
      </w:r>
      <w:r w:rsidR="00A1184B">
        <w:rPr>
          <w:rFonts w:asciiTheme="majorHAnsi" w:hAnsiTheme="majorHAnsi"/>
          <w:color w:val="FABF8F" w:themeColor="accent6" w:themeTint="99"/>
          <w:sz w:val="32"/>
          <w:szCs w:val="32"/>
        </w:rPr>
        <w:t xml:space="preserve">Arab </w:t>
      </w:r>
      <w:r>
        <w:rPr>
          <w:rFonts w:asciiTheme="majorHAnsi" w:hAnsiTheme="majorHAnsi"/>
          <w:color w:val="FABF8F" w:themeColor="accent6" w:themeTint="99"/>
          <w:sz w:val="32"/>
          <w:szCs w:val="32"/>
        </w:rPr>
        <w:t>traders and so no friend at all.</w:t>
      </w:r>
    </w:p>
    <w:p w14:paraId="767A8B84" w14:textId="77777777" w:rsidR="00AF164B" w:rsidRDefault="00AF164B" w:rsidP="005C7845">
      <w:pPr>
        <w:rPr>
          <w:rFonts w:asciiTheme="majorHAnsi" w:hAnsiTheme="majorHAnsi"/>
          <w:color w:val="FABF8F" w:themeColor="accent6" w:themeTint="99"/>
          <w:sz w:val="32"/>
          <w:szCs w:val="32"/>
        </w:rPr>
      </w:pPr>
    </w:p>
    <w:p w14:paraId="56474C40" w14:textId="53FD0A9D"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No one underscores this last point better than Livingstone himself. </w:t>
      </w:r>
    </w:p>
    <w:p w14:paraId="2D8CFBC2" w14:textId="77777777" w:rsidR="00AF164B" w:rsidRDefault="00AF164B" w:rsidP="005C7845">
      <w:pPr>
        <w:rPr>
          <w:rFonts w:asciiTheme="majorHAnsi" w:hAnsiTheme="majorHAnsi"/>
          <w:color w:val="FABF8F" w:themeColor="accent6" w:themeTint="99"/>
          <w:sz w:val="32"/>
          <w:szCs w:val="32"/>
        </w:rPr>
      </w:pPr>
    </w:p>
    <w:p w14:paraId="14A30956" w14:textId="38C84AAE" w:rsidR="00AF164B" w:rsidRDefault="00AF164B" w:rsidP="005C7845">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The 1870 Field Diary contains numerous instances of Livingstone turning to the Arab t</w:t>
      </w:r>
      <w:r w:rsidR="0051029A">
        <w:rPr>
          <w:rFonts w:asciiTheme="majorHAnsi" w:hAnsiTheme="majorHAnsi"/>
          <w:color w:val="FABF8F" w:themeColor="accent6" w:themeTint="99"/>
          <w:sz w:val="32"/>
          <w:szCs w:val="32"/>
        </w:rPr>
        <w:t xml:space="preserve">rader Mohamad Bogharib for aid (e.g., 1870i:XLII) and </w:t>
      </w:r>
      <w:r w:rsidR="00A1184B">
        <w:rPr>
          <w:rFonts w:asciiTheme="majorHAnsi" w:hAnsiTheme="majorHAnsi"/>
          <w:color w:val="FABF8F" w:themeColor="accent6" w:themeTint="99"/>
          <w:sz w:val="32"/>
          <w:szCs w:val="32"/>
        </w:rPr>
        <w:t xml:space="preserve">especially </w:t>
      </w:r>
      <w:r w:rsidR="0051029A">
        <w:rPr>
          <w:rFonts w:asciiTheme="majorHAnsi" w:hAnsiTheme="majorHAnsi"/>
          <w:color w:val="FABF8F" w:themeColor="accent6" w:themeTint="99"/>
          <w:sz w:val="32"/>
          <w:szCs w:val="32"/>
        </w:rPr>
        <w:t>memorable references to the kindness of Katomba, another Arab trader, (1871e:LXXXIX-XCIV) – references that Livingstone chooses to preserve, consolidate, and elaborate in the Unyanyembe Journal (1866-72:649).</w:t>
      </w:r>
    </w:p>
    <w:p w14:paraId="21F0E8BB" w14:textId="77777777" w:rsidR="007844B7" w:rsidRDefault="007844B7" w:rsidP="005C7845">
      <w:pPr>
        <w:rPr>
          <w:rFonts w:asciiTheme="majorHAnsi" w:hAnsiTheme="majorHAnsi"/>
          <w:color w:val="FABF8F" w:themeColor="accent6" w:themeTint="99"/>
          <w:sz w:val="32"/>
          <w:szCs w:val="32"/>
        </w:rPr>
      </w:pPr>
    </w:p>
    <w:p w14:paraId="30D93AB6" w14:textId="4C41A7E7" w:rsidR="005C7845" w:rsidRPr="005C7845" w:rsidRDefault="0092157B" w:rsidP="00667A8D">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Most striking of all, Livingstone </w:t>
      </w:r>
      <w:r w:rsidR="004B5A42">
        <w:rPr>
          <w:rFonts w:asciiTheme="majorHAnsi" w:hAnsiTheme="majorHAnsi"/>
          <w:color w:val="FABF8F" w:themeColor="accent6" w:themeTint="99"/>
          <w:sz w:val="32"/>
          <w:szCs w:val="32"/>
        </w:rPr>
        <w:t>himself</w:t>
      </w:r>
      <w:r>
        <w:rPr>
          <w:rFonts w:asciiTheme="majorHAnsi" w:hAnsiTheme="majorHAnsi"/>
          <w:color w:val="FABF8F" w:themeColor="accent6" w:themeTint="99"/>
          <w:sz w:val="32"/>
          <w:szCs w:val="32"/>
        </w:rPr>
        <w:t xml:space="preserve"> gifts his “</w:t>
      </w:r>
      <w:r w:rsidRPr="0092157B">
        <w:rPr>
          <w:rFonts w:asciiTheme="majorHAnsi" w:hAnsiTheme="majorHAnsi"/>
          <w:color w:val="FABF8F" w:themeColor="accent6" w:themeTint="99"/>
          <w:sz w:val="32"/>
          <w:szCs w:val="32"/>
        </w:rPr>
        <w:t>double barrelled gun</w:t>
      </w:r>
      <w:r>
        <w:rPr>
          <w:rFonts w:asciiTheme="majorHAnsi" w:hAnsiTheme="majorHAnsi"/>
          <w:color w:val="FABF8F" w:themeColor="accent6" w:themeTint="99"/>
          <w:sz w:val="32"/>
          <w:szCs w:val="32"/>
        </w:rPr>
        <w:t>” (1871e:XCI) to Katomba in retu</w:t>
      </w:r>
      <w:r w:rsidR="004B5A42">
        <w:rPr>
          <w:rFonts w:asciiTheme="majorHAnsi" w:hAnsiTheme="majorHAnsi"/>
          <w:color w:val="FABF8F" w:themeColor="accent6" w:themeTint="99"/>
          <w:sz w:val="32"/>
          <w:szCs w:val="32"/>
        </w:rPr>
        <w:t xml:space="preserve">rn for the above-cited kindness – an odd decision indeed given </w:t>
      </w:r>
      <w:r w:rsidR="00A1184B">
        <w:rPr>
          <w:rFonts w:asciiTheme="majorHAnsi" w:hAnsiTheme="majorHAnsi"/>
          <w:color w:val="FABF8F" w:themeColor="accent6" w:themeTint="99"/>
          <w:sz w:val="32"/>
          <w:szCs w:val="32"/>
        </w:rPr>
        <w:t>the endless descriptions of</w:t>
      </w:r>
      <w:bookmarkStart w:id="0" w:name="_GoBack"/>
      <w:bookmarkEnd w:id="0"/>
      <w:r w:rsidR="004B5A42">
        <w:rPr>
          <w:rFonts w:asciiTheme="majorHAnsi" w:hAnsiTheme="majorHAnsi"/>
          <w:color w:val="FABF8F" w:themeColor="accent6" w:themeTint="99"/>
          <w:sz w:val="32"/>
          <w:szCs w:val="32"/>
        </w:rPr>
        <w:t xml:space="preserve"> v</w:t>
      </w:r>
      <w:r w:rsidR="00667A8D">
        <w:rPr>
          <w:rFonts w:asciiTheme="majorHAnsi" w:hAnsiTheme="majorHAnsi"/>
          <w:color w:val="FABF8F" w:themeColor="accent6" w:themeTint="99"/>
          <w:sz w:val="32"/>
          <w:szCs w:val="32"/>
        </w:rPr>
        <w:t>iolence in the 1870 Field Diary.</w:t>
      </w:r>
    </w:p>
    <w:p w14:paraId="04D62B33" w14:textId="77777777" w:rsidR="00BE493F" w:rsidRDefault="005C7845" w:rsidP="005C7845">
      <w:pPr>
        <w:rPr>
          <w:rFonts w:asciiTheme="majorHAnsi" w:hAnsiTheme="majorHAnsi"/>
          <w:color w:val="FABF8F" w:themeColor="accent6" w:themeTint="99"/>
          <w:sz w:val="32"/>
          <w:szCs w:val="32"/>
        </w:rPr>
      </w:pPr>
      <w:r w:rsidRPr="005C7845">
        <w:rPr>
          <w:rFonts w:asciiTheme="majorHAnsi" w:hAnsiTheme="majorHAnsi"/>
          <w:color w:val="FABF8F" w:themeColor="accent6" w:themeTint="99"/>
          <w:sz w:val="32"/>
          <w:szCs w:val="32"/>
        </w:rPr>
        <w:tab/>
      </w:r>
      <w:r w:rsidRPr="005C7845">
        <w:rPr>
          <w:rFonts w:asciiTheme="majorHAnsi" w:hAnsiTheme="majorHAnsi"/>
          <w:color w:val="FABF8F" w:themeColor="accent6" w:themeTint="99"/>
          <w:sz w:val="32"/>
          <w:szCs w:val="32"/>
        </w:rPr>
        <w:tab/>
      </w:r>
    </w:p>
    <w:p w14:paraId="7605CBEB" w14:textId="77777777" w:rsidR="00BE493F" w:rsidRDefault="00BE493F" w:rsidP="005C7845">
      <w:pPr>
        <w:rPr>
          <w:rFonts w:asciiTheme="majorHAnsi" w:hAnsiTheme="majorHAnsi"/>
          <w:color w:val="FABF8F" w:themeColor="accent6" w:themeTint="99"/>
          <w:sz w:val="32"/>
          <w:szCs w:val="32"/>
        </w:rPr>
      </w:pPr>
    </w:p>
    <w:sectPr w:rsidR="00BE493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419AC"/>
    <w:rsid w:val="0005366C"/>
    <w:rsid w:val="00053BE4"/>
    <w:rsid w:val="00065940"/>
    <w:rsid w:val="00076062"/>
    <w:rsid w:val="00093F8A"/>
    <w:rsid w:val="000A46C0"/>
    <w:rsid w:val="000A742D"/>
    <w:rsid w:val="000B1C88"/>
    <w:rsid w:val="000B566C"/>
    <w:rsid w:val="000B5C22"/>
    <w:rsid w:val="000C2EEE"/>
    <w:rsid w:val="000C3735"/>
    <w:rsid w:val="000D7D6D"/>
    <w:rsid w:val="000E5B45"/>
    <w:rsid w:val="000E7530"/>
    <w:rsid w:val="000F5517"/>
    <w:rsid w:val="00103A4F"/>
    <w:rsid w:val="00112805"/>
    <w:rsid w:val="001345E7"/>
    <w:rsid w:val="00180FEA"/>
    <w:rsid w:val="001C4FE3"/>
    <w:rsid w:val="001F1F65"/>
    <w:rsid w:val="001F65FB"/>
    <w:rsid w:val="001F78ED"/>
    <w:rsid w:val="002045AF"/>
    <w:rsid w:val="00206A44"/>
    <w:rsid w:val="00251FBC"/>
    <w:rsid w:val="00292B11"/>
    <w:rsid w:val="002A19DF"/>
    <w:rsid w:val="002C17CD"/>
    <w:rsid w:val="002C6836"/>
    <w:rsid w:val="002F0845"/>
    <w:rsid w:val="002F51CD"/>
    <w:rsid w:val="00321AED"/>
    <w:rsid w:val="003443EC"/>
    <w:rsid w:val="0035578B"/>
    <w:rsid w:val="00364B4B"/>
    <w:rsid w:val="00382465"/>
    <w:rsid w:val="00390127"/>
    <w:rsid w:val="003B32B4"/>
    <w:rsid w:val="003C1ED9"/>
    <w:rsid w:val="003E647C"/>
    <w:rsid w:val="00412384"/>
    <w:rsid w:val="004148AD"/>
    <w:rsid w:val="004201B0"/>
    <w:rsid w:val="00435155"/>
    <w:rsid w:val="004402B9"/>
    <w:rsid w:val="0045629E"/>
    <w:rsid w:val="00457F13"/>
    <w:rsid w:val="004775B8"/>
    <w:rsid w:val="004A010C"/>
    <w:rsid w:val="004B5A42"/>
    <w:rsid w:val="004C4CCD"/>
    <w:rsid w:val="004D74E3"/>
    <w:rsid w:val="004E469E"/>
    <w:rsid w:val="005014E1"/>
    <w:rsid w:val="0051029A"/>
    <w:rsid w:val="00517FE3"/>
    <w:rsid w:val="00527EC5"/>
    <w:rsid w:val="00546DF9"/>
    <w:rsid w:val="00554AE0"/>
    <w:rsid w:val="005553E4"/>
    <w:rsid w:val="00564B52"/>
    <w:rsid w:val="00566858"/>
    <w:rsid w:val="005C7845"/>
    <w:rsid w:val="005F7EE4"/>
    <w:rsid w:val="0061457E"/>
    <w:rsid w:val="00650BE1"/>
    <w:rsid w:val="00667A8D"/>
    <w:rsid w:val="00674D34"/>
    <w:rsid w:val="006A7CE7"/>
    <w:rsid w:val="006D7496"/>
    <w:rsid w:val="00700000"/>
    <w:rsid w:val="00716876"/>
    <w:rsid w:val="0073387E"/>
    <w:rsid w:val="0073798F"/>
    <w:rsid w:val="0074798F"/>
    <w:rsid w:val="007523C9"/>
    <w:rsid w:val="00755F1E"/>
    <w:rsid w:val="00762CC3"/>
    <w:rsid w:val="007844B7"/>
    <w:rsid w:val="00791F66"/>
    <w:rsid w:val="007923EE"/>
    <w:rsid w:val="007A0887"/>
    <w:rsid w:val="007B4D13"/>
    <w:rsid w:val="007B5B06"/>
    <w:rsid w:val="007D6110"/>
    <w:rsid w:val="007F0382"/>
    <w:rsid w:val="007F5B6D"/>
    <w:rsid w:val="00833DE9"/>
    <w:rsid w:val="00850941"/>
    <w:rsid w:val="0086433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A1184B"/>
    <w:rsid w:val="00A11D7F"/>
    <w:rsid w:val="00A17874"/>
    <w:rsid w:val="00A6046F"/>
    <w:rsid w:val="00A86D8F"/>
    <w:rsid w:val="00AF164B"/>
    <w:rsid w:val="00AF4DAA"/>
    <w:rsid w:val="00AF4DE7"/>
    <w:rsid w:val="00B00C8D"/>
    <w:rsid w:val="00B02466"/>
    <w:rsid w:val="00B358BB"/>
    <w:rsid w:val="00B47FF0"/>
    <w:rsid w:val="00B52390"/>
    <w:rsid w:val="00B73F64"/>
    <w:rsid w:val="00B801C6"/>
    <w:rsid w:val="00B849E7"/>
    <w:rsid w:val="00BC718A"/>
    <w:rsid w:val="00BE231B"/>
    <w:rsid w:val="00BE493F"/>
    <w:rsid w:val="00BF1DE5"/>
    <w:rsid w:val="00C00F29"/>
    <w:rsid w:val="00C329C7"/>
    <w:rsid w:val="00C347C2"/>
    <w:rsid w:val="00C5669F"/>
    <w:rsid w:val="00C7666F"/>
    <w:rsid w:val="00C77129"/>
    <w:rsid w:val="00CB1752"/>
    <w:rsid w:val="00CC534D"/>
    <w:rsid w:val="00CC53F2"/>
    <w:rsid w:val="00CD1778"/>
    <w:rsid w:val="00CD278F"/>
    <w:rsid w:val="00CD36DA"/>
    <w:rsid w:val="00CE2D11"/>
    <w:rsid w:val="00D52CD9"/>
    <w:rsid w:val="00D60280"/>
    <w:rsid w:val="00D65BFA"/>
    <w:rsid w:val="00D9673E"/>
    <w:rsid w:val="00DB21CA"/>
    <w:rsid w:val="00DE4E54"/>
    <w:rsid w:val="00DE5075"/>
    <w:rsid w:val="00DF08FC"/>
    <w:rsid w:val="00E0642D"/>
    <w:rsid w:val="00E43B0D"/>
    <w:rsid w:val="00E46601"/>
    <w:rsid w:val="00E57668"/>
    <w:rsid w:val="00E74289"/>
    <w:rsid w:val="00ED60D1"/>
    <w:rsid w:val="00F009C8"/>
    <w:rsid w:val="00F1442D"/>
    <w:rsid w:val="00F52311"/>
    <w:rsid w:val="00F53248"/>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334</Words>
  <Characters>1909</Characters>
  <Application>Microsoft Macintosh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2017-01-12T15:26:00Z</dcterms:created>
  <dcterms:modified xsi:type="dcterms:W3CDTF">2017-01-14T17:58:00Z</dcterms:modified>
</cp:coreProperties>
</file>