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5FB38166" w14:textId="22DECE71" w:rsidR="002B0D7A" w:rsidRDefault="004A12D6"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overall narrative of the diary, including the scale and scope of the information that Livingstone records, </w:t>
      </w:r>
      <w:r w:rsidR="0076789B">
        <w:rPr>
          <w:rFonts w:asciiTheme="majorHAnsi" w:hAnsiTheme="majorHAnsi"/>
          <w:color w:val="FABF8F" w:themeColor="accent6" w:themeTint="99"/>
          <w:sz w:val="32"/>
          <w:szCs w:val="32"/>
        </w:rPr>
        <w:t>grows out of his unique situation and circumstances in 1870.</w:t>
      </w:r>
    </w:p>
    <w:p w14:paraId="58A2899C" w14:textId="77777777" w:rsidR="0076789B" w:rsidRDefault="0076789B" w:rsidP="00D733E2">
      <w:pPr>
        <w:rPr>
          <w:rFonts w:asciiTheme="majorHAnsi" w:hAnsiTheme="majorHAnsi"/>
          <w:color w:val="FABF8F" w:themeColor="accent6" w:themeTint="99"/>
          <w:sz w:val="32"/>
          <w:szCs w:val="32"/>
        </w:rPr>
      </w:pPr>
    </w:p>
    <w:p w14:paraId="6E86073A" w14:textId="4E72C3BB"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On one hand, Livingstone bashes contemporary armchair explorers, i.e., “theoretical discoverers,” like W.D. Cooley and James Macqueen, who developed elaborate geographical theories by integrating the observations of others rather than engaging in </w:t>
      </w:r>
      <w:r w:rsidR="00CB69EF">
        <w:rPr>
          <w:rFonts w:asciiTheme="majorHAnsi" w:hAnsiTheme="majorHAnsi"/>
          <w:color w:val="FABF8F" w:themeColor="accent6" w:themeTint="99"/>
          <w:sz w:val="32"/>
          <w:szCs w:val="32"/>
        </w:rPr>
        <w:t>first-ha nd exploration</w:t>
      </w:r>
      <w:r>
        <w:rPr>
          <w:rFonts w:asciiTheme="majorHAnsi" w:hAnsiTheme="majorHAnsi"/>
          <w:color w:val="FABF8F" w:themeColor="accent6" w:themeTint="99"/>
          <w:sz w:val="32"/>
          <w:szCs w:val="32"/>
        </w:rPr>
        <w:t xml:space="preserve"> (1870c:II).</w:t>
      </w:r>
    </w:p>
    <w:p w14:paraId="16A10226" w14:textId="77777777" w:rsidR="00CB69EF" w:rsidRDefault="00CB69EF" w:rsidP="00D733E2">
      <w:pPr>
        <w:rPr>
          <w:rFonts w:asciiTheme="majorHAnsi" w:hAnsiTheme="majorHAnsi"/>
          <w:color w:val="FABF8F" w:themeColor="accent6" w:themeTint="99"/>
          <w:sz w:val="32"/>
          <w:szCs w:val="32"/>
        </w:rPr>
      </w:pPr>
    </w:p>
    <w:p w14:paraId="22CC15D1" w14:textId="77777777" w:rsidR="0076789B" w:rsidRDefault="0076789B" w:rsidP="00D733E2">
      <w:pPr>
        <w:rPr>
          <w:rFonts w:asciiTheme="majorHAnsi" w:hAnsiTheme="majorHAnsi"/>
          <w:color w:val="FABF8F" w:themeColor="accent6" w:themeTint="99"/>
          <w:sz w:val="32"/>
          <w:szCs w:val="32"/>
        </w:rPr>
      </w:pPr>
    </w:p>
    <w:p w14:paraId="0A6DC43A" w14:textId="300D9B9F"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On the other, Livingstone fails to acknowledge that he himself is operating like an armchair explorer, albeit one based in Central Africa.</w:t>
      </w:r>
    </w:p>
    <w:p w14:paraId="1517DF3B" w14:textId="77777777" w:rsidR="0076789B" w:rsidRDefault="0076789B" w:rsidP="00D733E2">
      <w:pPr>
        <w:rPr>
          <w:rFonts w:asciiTheme="majorHAnsi" w:hAnsiTheme="majorHAnsi"/>
          <w:color w:val="FABF8F" w:themeColor="accent6" w:themeTint="99"/>
          <w:sz w:val="32"/>
          <w:szCs w:val="32"/>
        </w:rPr>
      </w:pPr>
    </w:p>
    <w:p w14:paraId="4FDBA450" w14:textId="383B6EA6"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He dreams of traveling and exploring like the Arab traders that surround him, but a variety of circumstances have immobilized him and, as noted earlier, he devotes portions of the 1870 Field Diary to accounting for his impediments (e.g., 1870i:LIV-LV).</w:t>
      </w:r>
    </w:p>
    <w:p w14:paraId="2981B5C8" w14:textId="77777777" w:rsidR="0076789B" w:rsidRDefault="0076789B" w:rsidP="00D733E2">
      <w:pPr>
        <w:rPr>
          <w:rFonts w:asciiTheme="majorHAnsi" w:hAnsiTheme="majorHAnsi"/>
          <w:color w:val="FABF8F" w:themeColor="accent6" w:themeTint="99"/>
          <w:sz w:val="32"/>
          <w:szCs w:val="32"/>
        </w:rPr>
      </w:pPr>
    </w:p>
    <w:p w14:paraId="5541A424" w14:textId="77777777" w:rsidR="001E5193" w:rsidRDefault="001E5193" w:rsidP="00D733E2">
      <w:pPr>
        <w:rPr>
          <w:rFonts w:asciiTheme="majorHAnsi" w:hAnsiTheme="majorHAnsi"/>
          <w:color w:val="FABF8F" w:themeColor="accent6" w:themeTint="99"/>
          <w:sz w:val="32"/>
          <w:szCs w:val="32"/>
        </w:rPr>
      </w:pPr>
    </w:p>
    <w:p w14:paraId="7027743F" w14:textId="34A396BD"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Yet despite such immobility, the 1870 Field Diary shows Livingstone to be very well informed about regional events and events farther afield in East Africa and elsewhere.</w:t>
      </w:r>
    </w:p>
    <w:p w14:paraId="02DAA243" w14:textId="77777777" w:rsidR="0076789B" w:rsidRDefault="0076789B" w:rsidP="00D733E2">
      <w:pPr>
        <w:rPr>
          <w:rFonts w:asciiTheme="majorHAnsi" w:hAnsiTheme="majorHAnsi"/>
          <w:color w:val="FABF8F" w:themeColor="accent6" w:themeTint="99"/>
          <w:sz w:val="32"/>
          <w:szCs w:val="32"/>
        </w:rPr>
      </w:pPr>
    </w:p>
    <w:p w14:paraId="188F9067" w14:textId="1C820A3B"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Additionally, the diary makes clear that each group of traders that arrives in Bambarre, from whatever direction, further enlarges Livingstone’s story of knowledge.</w:t>
      </w:r>
    </w:p>
    <w:p w14:paraId="23CBAF95" w14:textId="77777777" w:rsidR="00CB69EF" w:rsidRDefault="00CB69EF" w:rsidP="00D733E2">
      <w:pPr>
        <w:rPr>
          <w:rFonts w:asciiTheme="majorHAnsi" w:hAnsiTheme="majorHAnsi"/>
          <w:color w:val="FABF8F" w:themeColor="accent6" w:themeTint="99"/>
          <w:sz w:val="32"/>
          <w:szCs w:val="32"/>
        </w:rPr>
      </w:pPr>
    </w:p>
    <w:p w14:paraId="43CF4C01" w14:textId="77777777" w:rsidR="0076789B" w:rsidRDefault="0076789B" w:rsidP="00D733E2">
      <w:pPr>
        <w:rPr>
          <w:rFonts w:asciiTheme="majorHAnsi" w:hAnsiTheme="majorHAnsi"/>
          <w:color w:val="FABF8F" w:themeColor="accent6" w:themeTint="99"/>
          <w:sz w:val="32"/>
          <w:szCs w:val="32"/>
        </w:rPr>
      </w:pPr>
    </w:p>
    <w:p w14:paraId="02A3A2A6" w14:textId="0AC9AA6C"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As a result, when Livingstone composes the Letter from Bambarre</w:t>
      </w:r>
      <w:r w:rsidR="003726B6">
        <w:rPr>
          <w:rFonts w:asciiTheme="majorHAnsi" w:hAnsiTheme="majorHAnsi"/>
          <w:color w:val="FABF8F" w:themeColor="accent6" w:themeTint="99"/>
          <w:sz w:val="32"/>
          <w:szCs w:val="32"/>
        </w:rPr>
        <w:t xml:space="preserve"> – the drafting of which coincides with the end of the 1870 Field Diary and marks the point from which Livingstone resumes his travels – he shows </w:t>
      </w:r>
      <w:r w:rsidR="003726B6">
        <w:rPr>
          <w:rFonts w:asciiTheme="majorHAnsi" w:hAnsiTheme="majorHAnsi"/>
          <w:color w:val="FABF8F" w:themeColor="accent6" w:themeTint="99"/>
          <w:sz w:val="32"/>
          <w:szCs w:val="32"/>
        </w:rPr>
        <w:lastRenderedPageBreak/>
        <w:t>that the principal information gained from Waller relates to events in Britain</w:t>
      </w:r>
      <w:r w:rsidR="00C271E7">
        <w:rPr>
          <w:rFonts w:asciiTheme="majorHAnsi" w:hAnsiTheme="majorHAnsi"/>
          <w:color w:val="FABF8F" w:themeColor="accent6" w:themeTint="99"/>
          <w:sz w:val="32"/>
          <w:szCs w:val="32"/>
        </w:rPr>
        <w:t xml:space="preserve"> or across the Atlantic</w:t>
      </w:r>
      <w:r w:rsidR="00C32FF1">
        <w:rPr>
          <w:rFonts w:asciiTheme="majorHAnsi" w:hAnsiTheme="majorHAnsi"/>
          <w:color w:val="FABF8F" w:themeColor="accent6" w:themeTint="99"/>
          <w:sz w:val="32"/>
          <w:szCs w:val="32"/>
        </w:rPr>
        <w:t>, not Africa</w:t>
      </w:r>
      <w:r w:rsidR="003726B6">
        <w:rPr>
          <w:rFonts w:asciiTheme="majorHAnsi" w:hAnsiTheme="majorHAnsi"/>
          <w:color w:val="FABF8F" w:themeColor="accent6" w:themeTint="99"/>
          <w:sz w:val="32"/>
          <w:szCs w:val="32"/>
        </w:rPr>
        <w:t xml:space="preserve"> (Livingstone 1871c:[1]).</w:t>
      </w:r>
    </w:p>
    <w:p w14:paraId="5242E892" w14:textId="77777777" w:rsidR="001E5193" w:rsidRDefault="001E5193" w:rsidP="00D733E2">
      <w:pPr>
        <w:rPr>
          <w:rFonts w:asciiTheme="majorHAnsi" w:hAnsiTheme="majorHAnsi"/>
          <w:color w:val="FABF8F" w:themeColor="accent6" w:themeTint="99"/>
          <w:sz w:val="32"/>
          <w:szCs w:val="32"/>
        </w:rPr>
      </w:pPr>
    </w:p>
    <w:p w14:paraId="581BA804" w14:textId="77777777" w:rsidR="00CB69EF" w:rsidRDefault="00CB69EF" w:rsidP="00D733E2">
      <w:pPr>
        <w:rPr>
          <w:rFonts w:asciiTheme="majorHAnsi" w:hAnsiTheme="majorHAnsi"/>
          <w:color w:val="FABF8F" w:themeColor="accent6" w:themeTint="99"/>
          <w:sz w:val="32"/>
          <w:szCs w:val="32"/>
        </w:rPr>
      </w:pPr>
    </w:p>
    <w:p w14:paraId="6BE10DAA" w14:textId="36D6284F" w:rsidR="001E5193" w:rsidRDefault="001E5193"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scale of Livingstone’s knowledge best emerges through an enumeration of the locations from which Livingstone shares news in the 1870 Field Diary.</w:t>
      </w:r>
    </w:p>
    <w:p w14:paraId="0625CC5F" w14:textId="77777777" w:rsidR="00C86629" w:rsidRDefault="00C86629" w:rsidP="00D733E2">
      <w:pPr>
        <w:rPr>
          <w:rFonts w:asciiTheme="majorHAnsi" w:hAnsiTheme="majorHAnsi"/>
          <w:color w:val="FABF8F" w:themeColor="accent6" w:themeTint="99"/>
          <w:sz w:val="32"/>
          <w:szCs w:val="32"/>
        </w:rPr>
      </w:pPr>
    </w:p>
    <w:p w14:paraId="731E1726" w14:textId="293F1CB9" w:rsidR="00C86629" w:rsidRDefault="00C86629"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These locations include:</w:t>
      </w:r>
    </w:p>
    <w:p w14:paraId="646B0750" w14:textId="77777777" w:rsidR="00C86629" w:rsidRDefault="00C86629" w:rsidP="00D733E2">
      <w:pPr>
        <w:rPr>
          <w:rFonts w:asciiTheme="majorHAnsi" w:hAnsiTheme="majorHAnsi"/>
          <w:color w:val="FABF8F" w:themeColor="accent6" w:themeTint="99"/>
          <w:sz w:val="32"/>
          <w:szCs w:val="32"/>
        </w:rPr>
      </w:pPr>
    </w:p>
    <w:p w14:paraId="3815ADA0" w14:textId="380986D5" w:rsidR="00C86629" w:rsidRDefault="00CB69EF"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1) </w:t>
      </w:r>
      <w:r w:rsidR="00C86629">
        <w:rPr>
          <w:rFonts w:asciiTheme="majorHAnsi" w:hAnsiTheme="majorHAnsi"/>
          <w:color w:val="FABF8F" w:themeColor="accent6" w:themeTint="99"/>
          <w:sz w:val="32"/>
          <w:szCs w:val="32"/>
        </w:rPr>
        <w:t>Nearby villages such as Mamohela and Kasongo (1870a:[24]-[33], 1870i:XXIX);</w:t>
      </w:r>
    </w:p>
    <w:p w14:paraId="04780777" w14:textId="77777777" w:rsidR="002B0D7A" w:rsidRDefault="002B0D7A" w:rsidP="00D733E2">
      <w:pPr>
        <w:rPr>
          <w:rFonts w:asciiTheme="majorHAnsi" w:hAnsiTheme="majorHAnsi"/>
          <w:color w:val="FABF8F" w:themeColor="accent6" w:themeTint="99"/>
          <w:sz w:val="32"/>
          <w:szCs w:val="32"/>
        </w:rPr>
      </w:pPr>
    </w:p>
    <w:p w14:paraId="17137E70" w14:textId="60866A00" w:rsidR="00D733E2" w:rsidRDefault="00CB69EF"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2) </w:t>
      </w:r>
      <w:r w:rsidR="00CC16D1">
        <w:rPr>
          <w:rFonts w:asciiTheme="majorHAnsi" w:hAnsiTheme="majorHAnsi"/>
          <w:color w:val="FABF8F" w:themeColor="accent6" w:themeTint="99"/>
          <w:sz w:val="32"/>
          <w:szCs w:val="32"/>
        </w:rPr>
        <w:t>North along the Lualaba River to Nyangwe and beyond (1870a:[24]-[33]</w:t>
      </w:r>
      <w:r w:rsidR="00C00A2B">
        <w:rPr>
          <w:rFonts w:asciiTheme="majorHAnsi" w:hAnsiTheme="majorHAnsi"/>
          <w:color w:val="FABF8F" w:themeColor="accent6" w:themeTint="99"/>
          <w:sz w:val="32"/>
          <w:szCs w:val="32"/>
        </w:rPr>
        <w:t xml:space="preserve">, [41]-[45]; </w:t>
      </w:r>
      <w:r w:rsidR="00CC16D1">
        <w:rPr>
          <w:rFonts w:asciiTheme="majorHAnsi" w:hAnsiTheme="majorHAnsi"/>
          <w:color w:val="FABF8F" w:themeColor="accent6" w:themeTint="99"/>
          <w:sz w:val="32"/>
          <w:szCs w:val="32"/>
        </w:rPr>
        <w:t>1870e:X; 1870h:XIX; 1870i:XXI, LIV-LV; also see the map on 1871a:</w:t>
      </w:r>
      <w:r w:rsidR="00CC16D1" w:rsidRPr="00CC16D1">
        <w:t xml:space="preserve"> </w:t>
      </w:r>
      <w:r w:rsidR="00CC16D1" w:rsidRPr="00CC16D1">
        <w:rPr>
          <w:rFonts w:asciiTheme="majorHAnsi" w:hAnsiTheme="majorHAnsi"/>
          <w:color w:val="FABF8F" w:themeColor="accent6" w:themeTint="99"/>
          <w:sz w:val="32"/>
          <w:szCs w:val="32"/>
        </w:rPr>
        <w:t>[LXXVI v.2]</w:t>
      </w:r>
      <w:r w:rsidR="00CC16D1">
        <w:rPr>
          <w:rFonts w:asciiTheme="majorHAnsi" w:hAnsiTheme="majorHAnsi"/>
          <w:color w:val="FABF8F" w:themeColor="accent6" w:themeTint="99"/>
          <w:sz w:val="32"/>
          <w:szCs w:val="32"/>
        </w:rPr>
        <w:t>);</w:t>
      </w:r>
    </w:p>
    <w:p w14:paraId="016098FE" w14:textId="77777777" w:rsidR="00687FE8" w:rsidRDefault="00687FE8" w:rsidP="007C68D7">
      <w:pPr>
        <w:rPr>
          <w:rFonts w:asciiTheme="majorHAnsi" w:hAnsiTheme="majorHAnsi"/>
          <w:color w:val="FABF8F" w:themeColor="accent6" w:themeTint="99"/>
          <w:sz w:val="32"/>
          <w:szCs w:val="32"/>
        </w:rPr>
      </w:pPr>
    </w:p>
    <w:p w14:paraId="48EC3E68" w14:textId="1F9D6CED" w:rsidR="007C68D7" w:rsidRDefault="00CB69EF" w:rsidP="007C68D7">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3) </w:t>
      </w:r>
      <w:r w:rsidR="007C68D7">
        <w:rPr>
          <w:rFonts w:asciiTheme="majorHAnsi" w:hAnsiTheme="majorHAnsi"/>
          <w:color w:val="FABF8F" w:themeColor="accent6" w:themeTint="99"/>
          <w:sz w:val="32"/>
          <w:szCs w:val="32"/>
        </w:rPr>
        <w:t>Legaland</w:t>
      </w:r>
      <w:r w:rsidR="00CC16D1">
        <w:rPr>
          <w:rFonts w:asciiTheme="majorHAnsi" w:hAnsiTheme="majorHAnsi"/>
          <w:color w:val="FABF8F" w:themeColor="accent6" w:themeTint="99"/>
          <w:sz w:val="32"/>
          <w:szCs w:val="32"/>
        </w:rPr>
        <w:t xml:space="preserve"> and beyond to Lake Albert (1870a:[33]-[40]; 1870h:XVII; 1870i:XXIX-XXXI, LV [v.1]; also see the map on 1870f:[XIV v.2]); </w:t>
      </w:r>
    </w:p>
    <w:p w14:paraId="5EA7CD54" w14:textId="77777777" w:rsidR="00CC16D1" w:rsidRDefault="00CC16D1" w:rsidP="007C68D7">
      <w:pPr>
        <w:rPr>
          <w:rFonts w:asciiTheme="majorHAnsi" w:hAnsiTheme="majorHAnsi"/>
          <w:color w:val="FABF8F" w:themeColor="accent6" w:themeTint="99"/>
          <w:sz w:val="32"/>
          <w:szCs w:val="32"/>
        </w:rPr>
      </w:pPr>
    </w:p>
    <w:p w14:paraId="57FD5EF5" w14:textId="75687B4A" w:rsidR="00CC16D1" w:rsidRDefault="00CB69EF" w:rsidP="007C68D7">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4) </w:t>
      </w:r>
      <w:r w:rsidR="00CC16D1">
        <w:rPr>
          <w:rFonts w:asciiTheme="majorHAnsi" w:hAnsiTheme="majorHAnsi"/>
          <w:color w:val="FABF8F" w:themeColor="accent6" w:themeTint="99"/>
          <w:sz w:val="32"/>
          <w:szCs w:val="32"/>
        </w:rPr>
        <w:t>Lubaland and Lunda to the south</w:t>
      </w:r>
      <w:r w:rsidR="00C00A2B">
        <w:rPr>
          <w:rFonts w:asciiTheme="majorHAnsi" w:hAnsiTheme="majorHAnsi"/>
          <w:color w:val="FABF8F" w:themeColor="accent6" w:themeTint="99"/>
          <w:sz w:val="32"/>
          <w:szCs w:val="32"/>
        </w:rPr>
        <w:t xml:space="preserve"> and sout</w:t>
      </w:r>
      <w:r w:rsidR="00CC16D1">
        <w:rPr>
          <w:rFonts w:asciiTheme="majorHAnsi" w:hAnsiTheme="majorHAnsi"/>
          <w:color w:val="FABF8F" w:themeColor="accent6" w:themeTint="99"/>
          <w:sz w:val="32"/>
          <w:szCs w:val="32"/>
        </w:rPr>
        <w:t xml:space="preserve">west </w:t>
      </w:r>
      <w:r w:rsidR="00C00A2B">
        <w:rPr>
          <w:rFonts w:asciiTheme="majorHAnsi" w:hAnsiTheme="majorHAnsi"/>
          <w:color w:val="FABF8F" w:themeColor="accent6" w:themeTint="99"/>
          <w:sz w:val="32"/>
          <w:szCs w:val="32"/>
        </w:rPr>
        <w:t xml:space="preserve">to Katanga </w:t>
      </w:r>
      <w:r w:rsidR="00CC16D1">
        <w:rPr>
          <w:rFonts w:asciiTheme="majorHAnsi" w:hAnsiTheme="majorHAnsi"/>
          <w:color w:val="FABF8F" w:themeColor="accent6" w:themeTint="99"/>
          <w:sz w:val="32"/>
          <w:szCs w:val="32"/>
        </w:rPr>
        <w:t>(</w:t>
      </w:r>
      <w:r w:rsidR="00C00A2B">
        <w:rPr>
          <w:rFonts w:asciiTheme="majorHAnsi" w:hAnsiTheme="majorHAnsi"/>
          <w:color w:val="FABF8F" w:themeColor="accent6" w:themeTint="99"/>
          <w:sz w:val="32"/>
          <w:szCs w:val="32"/>
        </w:rPr>
        <w:t>1870c:[I], 1870f:</w:t>
      </w:r>
      <w:r w:rsidR="00C00A2B" w:rsidRPr="00C00A2B">
        <w:t xml:space="preserve"> </w:t>
      </w:r>
      <w:r w:rsidR="00C00A2B" w:rsidRPr="00C00A2B">
        <w:rPr>
          <w:rFonts w:asciiTheme="majorHAnsi" w:hAnsiTheme="majorHAnsi"/>
          <w:color w:val="FABF8F" w:themeColor="accent6" w:themeTint="99"/>
          <w:sz w:val="32"/>
          <w:szCs w:val="32"/>
        </w:rPr>
        <w:t>XIV [v.1]</w:t>
      </w:r>
      <w:r w:rsidR="00C00A2B">
        <w:rPr>
          <w:rFonts w:asciiTheme="majorHAnsi" w:hAnsiTheme="majorHAnsi"/>
          <w:color w:val="FABF8F" w:themeColor="accent6" w:themeTint="99"/>
          <w:sz w:val="32"/>
          <w:szCs w:val="32"/>
        </w:rPr>
        <w:t>, 1870i:XXI);</w:t>
      </w:r>
    </w:p>
    <w:p w14:paraId="79A9FB5B" w14:textId="77777777" w:rsidR="00C00A2B" w:rsidRDefault="00C00A2B" w:rsidP="007C68D7">
      <w:pPr>
        <w:rPr>
          <w:rFonts w:asciiTheme="majorHAnsi" w:hAnsiTheme="majorHAnsi"/>
          <w:color w:val="FABF8F" w:themeColor="accent6" w:themeTint="99"/>
          <w:sz w:val="32"/>
          <w:szCs w:val="32"/>
        </w:rPr>
      </w:pPr>
    </w:p>
    <w:p w14:paraId="2F84DFA4" w14:textId="444EB2C1" w:rsidR="00C00A2B" w:rsidRDefault="00CB69EF" w:rsidP="007C68D7">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5) </w:t>
      </w:r>
      <w:r w:rsidR="00C00A2B">
        <w:rPr>
          <w:rFonts w:asciiTheme="majorHAnsi" w:hAnsiTheme="majorHAnsi"/>
          <w:color w:val="FABF8F" w:themeColor="accent6" w:themeTint="99"/>
          <w:sz w:val="32"/>
          <w:szCs w:val="32"/>
        </w:rPr>
        <w:t>Ujiji and the central East African trading routes to Zanzibar (1870d:{21}-{22}; 1870e:XI; 1871b:LXXIX, LXXXI;</w:t>
      </w:r>
    </w:p>
    <w:p w14:paraId="091CC381" w14:textId="77777777" w:rsidR="00C00A2B" w:rsidRDefault="00C00A2B" w:rsidP="007C68D7">
      <w:pPr>
        <w:rPr>
          <w:rFonts w:asciiTheme="majorHAnsi" w:hAnsiTheme="majorHAnsi"/>
          <w:color w:val="FABF8F" w:themeColor="accent6" w:themeTint="99"/>
          <w:sz w:val="32"/>
          <w:szCs w:val="32"/>
        </w:rPr>
      </w:pPr>
    </w:p>
    <w:p w14:paraId="47FC1332" w14:textId="1A2C6D1C" w:rsidR="00C00A2B" w:rsidRPr="00D733E2" w:rsidRDefault="00CB69EF" w:rsidP="007C68D7">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6) </w:t>
      </w:r>
      <w:r w:rsidR="00C00A2B">
        <w:rPr>
          <w:rFonts w:asciiTheme="majorHAnsi" w:hAnsiTheme="majorHAnsi"/>
          <w:color w:val="FABF8F" w:themeColor="accent6" w:themeTint="99"/>
          <w:sz w:val="32"/>
          <w:szCs w:val="32"/>
        </w:rPr>
        <w:t>The areas north and northeast of Unyanyembe all the way to Buganda and Masaailand (1870f</w:t>
      </w:r>
      <w:r w:rsidR="004B4ACB">
        <w:rPr>
          <w:rFonts w:asciiTheme="majorHAnsi" w:hAnsiTheme="majorHAnsi"/>
          <w:color w:val="FABF8F" w:themeColor="accent6" w:themeTint="99"/>
          <w:sz w:val="32"/>
          <w:szCs w:val="32"/>
        </w:rPr>
        <w:t>:[XIV v.2]; 1871b:LXXIX, LXXXI); and</w:t>
      </w:r>
    </w:p>
    <w:p w14:paraId="736BC5B3" w14:textId="77777777" w:rsidR="007C68D7" w:rsidRDefault="007C68D7" w:rsidP="00D733E2">
      <w:pPr>
        <w:rPr>
          <w:rFonts w:asciiTheme="majorHAnsi" w:hAnsiTheme="majorHAnsi"/>
          <w:color w:val="FABF8F" w:themeColor="accent6" w:themeTint="99"/>
          <w:sz w:val="32"/>
          <w:szCs w:val="32"/>
        </w:rPr>
      </w:pPr>
    </w:p>
    <w:p w14:paraId="2F53F331" w14:textId="35627A3A" w:rsidR="008A652D" w:rsidRDefault="00CB69EF"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7) </w:t>
      </w:r>
      <w:r w:rsidR="004B4ACB">
        <w:rPr>
          <w:rFonts w:asciiTheme="majorHAnsi" w:hAnsiTheme="majorHAnsi"/>
          <w:color w:val="FABF8F" w:themeColor="accent6" w:themeTint="99"/>
          <w:sz w:val="32"/>
          <w:szCs w:val="32"/>
        </w:rPr>
        <w:t>Mecca and the Arabian Peninsula (1870i:XL, 1871b:</w:t>
      </w:r>
      <w:r w:rsidR="004B4ACB" w:rsidRPr="00687FE8">
        <w:rPr>
          <w:rFonts w:asciiTheme="majorHAnsi" w:hAnsiTheme="majorHAnsi"/>
          <w:color w:val="FABF8F" w:themeColor="accent6" w:themeTint="99"/>
          <w:sz w:val="32"/>
          <w:szCs w:val="32"/>
        </w:rPr>
        <w:t>LXXXIII</w:t>
      </w:r>
      <w:r w:rsidR="004B4ACB">
        <w:rPr>
          <w:rFonts w:asciiTheme="majorHAnsi" w:hAnsiTheme="majorHAnsi"/>
          <w:color w:val="FABF8F" w:themeColor="accent6" w:themeTint="99"/>
          <w:sz w:val="32"/>
          <w:szCs w:val="32"/>
        </w:rPr>
        <w:t>).</w:t>
      </w:r>
      <w:r w:rsidR="00D733E2" w:rsidRPr="00D733E2">
        <w:rPr>
          <w:rFonts w:asciiTheme="majorHAnsi" w:hAnsiTheme="majorHAnsi"/>
          <w:color w:val="FABF8F" w:themeColor="accent6" w:themeTint="99"/>
          <w:sz w:val="32"/>
          <w:szCs w:val="32"/>
        </w:rPr>
        <w:tab/>
      </w:r>
      <w:r w:rsidR="00D733E2" w:rsidRPr="00D733E2">
        <w:rPr>
          <w:rFonts w:asciiTheme="majorHAnsi" w:hAnsiTheme="majorHAnsi"/>
          <w:color w:val="FABF8F" w:themeColor="accent6" w:themeTint="99"/>
          <w:sz w:val="32"/>
          <w:szCs w:val="32"/>
        </w:rPr>
        <w:tab/>
      </w:r>
    </w:p>
    <w:p w14:paraId="0708686C" w14:textId="77777777" w:rsidR="00A0227D" w:rsidRDefault="00A0227D" w:rsidP="00D733E2">
      <w:pPr>
        <w:rPr>
          <w:rFonts w:asciiTheme="majorHAnsi" w:hAnsiTheme="majorHAnsi"/>
          <w:color w:val="FABF8F" w:themeColor="accent6" w:themeTint="99"/>
          <w:sz w:val="32"/>
          <w:szCs w:val="32"/>
        </w:rPr>
      </w:pPr>
    </w:p>
    <w:p w14:paraId="689AB306" w14:textId="6BF4AA1C" w:rsidR="00A0227D" w:rsidRDefault="00A0227D"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other words, despite being apparently stranded and isolated in Bambarre, Livingstone works with his informants to record information about vast swaths of Central and Eastern Africa and beyond.</w:t>
      </w:r>
    </w:p>
    <w:p w14:paraId="1DF7DF9C" w14:textId="77777777" w:rsidR="00CB69EF" w:rsidRDefault="00CB69EF" w:rsidP="00D733E2">
      <w:pPr>
        <w:rPr>
          <w:rFonts w:asciiTheme="majorHAnsi" w:hAnsiTheme="majorHAnsi"/>
          <w:color w:val="FABF8F" w:themeColor="accent6" w:themeTint="99"/>
          <w:sz w:val="32"/>
          <w:szCs w:val="32"/>
        </w:rPr>
      </w:pPr>
    </w:p>
    <w:p w14:paraId="494A23A9" w14:textId="0760DB74" w:rsidR="00CB69EF" w:rsidRPr="00687FE8" w:rsidRDefault="00CB69EF"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Such information might not be valied by Victorian standards of first-hand observation, but it reveals the extraordinary scope of knowledge ciruclation in the region during the period.</w:t>
      </w:r>
      <w:bookmarkStart w:id="0" w:name="_GoBack"/>
      <w:bookmarkEnd w:id="0"/>
    </w:p>
    <w:sectPr w:rsidR="00CB69EF" w:rsidRPr="00687FE8"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17FAB"/>
    <w:rsid w:val="00022FDA"/>
    <w:rsid w:val="000333E4"/>
    <w:rsid w:val="000419AC"/>
    <w:rsid w:val="0005366C"/>
    <w:rsid w:val="00053BE4"/>
    <w:rsid w:val="00065940"/>
    <w:rsid w:val="00073472"/>
    <w:rsid w:val="00076062"/>
    <w:rsid w:val="00093F8A"/>
    <w:rsid w:val="000A46C0"/>
    <w:rsid w:val="000A742D"/>
    <w:rsid w:val="000B1C88"/>
    <w:rsid w:val="000B566C"/>
    <w:rsid w:val="000B5C22"/>
    <w:rsid w:val="000C2EEE"/>
    <w:rsid w:val="000C3735"/>
    <w:rsid w:val="000D7D6D"/>
    <w:rsid w:val="000E5B45"/>
    <w:rsid w:val="000E7530"/>
    <w:rsid w:val="000F53A8"/>
    <w:rsid w:val="000F5517"/>
    <w:rsid w:val="00103A4F"/>
    <w:rsid w:val="00112805"/>
    <w:rsid w:val="001345E7"/>
    <w:rsid w:val="00180FEA"/>
    <w:rsid w:val="001C4FE3"/>
    <w:rsid w:val="001E5193"/>
    <w:rsid w:val="001F1F65"/>
    <w:rsid w:val="001F65FB"/>
    <w:rsid w:val="001F78ED"/>
    <w:rsid w:val="002045AF"/>
    <w:rsid w:val="00206A44"/>
    <w:rsid w:val="00251FBC"/>
    <w:rsid w:val="00292B11"/>
    <w:rsid w:val="002A19DF"/>
    <w:rsid w:val="002A356A"/>
    <w:rsid w:val="002B0D7A"/>
    <w:rsid w:val="002C17CD"/>
    <w:rsid w:val="002C6836"/>
    <w:rsid w:val="002F0845"/>
    <w:rsid w:val="002F51CD"/>
    <w:rsid w:val="00321AED"/>
    <w:rsid w:val="003375DA"/>
    <w:rsid w:val="00342742"/>
    <w:rsid w:val="003443EC"/>
    <w:rsid w:val="0035578B"/>
    <w:rsid w:val="00364B4B"/>
    <w:rsid w:val="003726B6"/>
    <w:rsid w:val="00382465"/>
    <w:rsid w:val="00390127"/>
    <w:rsid w:val="003A422D"/>
    <w:rsid w:val="003B32B4"/>
    <w:rsid w:val="003B4390"/>
    <w:rsid w:val="003C1ED9"/>
    <w:rsid w:val="003E647C"/>
    <w:rsid w:val="003F78D3"/>
    <w:rsid w:val="00405380"/>
    <w:rsid w:val="00412384"/>
    <w:rsid w:val="004148AD"/>
    <w:rsid w:val="004201B0"/>
    <w:rsid w:val="00435155"/>
    <w:rsid w:val="004402B9"/>
    <w:rsid w:val="0045629E"/>
    <w:rsid w:val="00457F13"/>
    <w:rsid w:val="004775B8"/>
    <w:rsid w:val="004941DB"/>
    <w:rsid w:val="004A010C"/>
    <w:rsid w:val="004A12D6"/>
    <w:rsid w:val="004B4ACB"/>
    <w:rsid w:val="004B5A42"/>
    <w:rsid w:val="004C4CCD"/>
    <w:rsid w:val="004D74E3"/>
    <w:rsid w:val="004E469E"/>
    <w:rsid w:val="005014E1"/>
    <w:rsid w:val="0051029A"/>
    <w:rsid w:val="00513E93"/>
    <w:rsid w:val="00517FE3"/>
    <w:rsid w:val="00527EC5"/>
    <w:rsid w:val="00546DF9"/>
    <w:rsid w:val="00554AE0"/>
    <w:rsid w:val="005553E4"/>
    <w:rsid w:val="00563110"/>
    <w:rsid w:val="00564B52"/>
    <w:rsid w:val="00566858"/>
    <w:rsid w:val="005928A3"/>
    <w:rsid w:val="005C7845"/>
    <w:rsid w:val="005D5DFB"/>
    <w:rsid w:val="005F7EE4"/>
    <w:rsid w:val="00602150"/>
    <w:rsid w:val="0061457E"/>
    <w:rsid w:val="00644CCA"/>
    <w:rsid w:val="00650BE1"/>
    <w:rsid w:val="00667A8D"/>
    <w:rsid w:val="00674D34"/>
    <w:rsid w:val="006759FD"/>
    <w:rsid w:val="00687FE8"/>
    <w:rsid w:val="006A1691"/>
    <w:rsid w:val="006A7CE7"/>
    <w:rsid w:val="006D7496"/>
    <w:rsid w:val="006E1A67"/>
    <w:rsid w:val="00700000"/>
    <w:rsid w:val="00716876"/>
    <w:rsid w:val="0073387E"/>
    <w:rsid w:val="0073798F"/>
    <w:rsid w:val="0074798F"/>
    <w:rsid w:val="007523C9"/>
    <w:rsid w:val="00755F1E"/>
    <w:rsid w:val="00762CC3"/>
    <w:rsid w:val="0076789B"/>
    <w:rsid w:val="00780CEE"/>
    <w:rsid w:val="007844B7"/>
    <w:rsid w:val="00791F66"/>
    <w:rsid w:val="007923EE"/>
    <w:rsid w:val="007A0887"/>
    <w:rsid w:val="007B4D13"/>
    <w:rsid w:val="007B5B06"/>
    <w:rsid w:val="007C68D7"/>
    <w:rsid w:val="007D6110"/>
    <w:rsid w:val="007F0382"/>
    <w:rsid w:val="007F2270"/>
    <w:rsid w:val="007F5B6D"/>
    <w:rsid w:val="007F7CDD"/>
    <w:rsid w:val="00803584"/>
    <w:rsid w:val="00833DE9"/>
    <w:rsid w:val="00850941"/>
    <w:rsid w:val="0086433D"/>
    <w:rsid w:val="008A652D"/>
    <w:rsid w:val="008B228B"/>
    <w:rsid w:val="008C77B3"/>
    <w:rsid w:val="008E0837"/>
    <w:rsid w:val="008F3F23"/>
    <w:rsid w:val="00907FC5"/>
    <w:rsid w:val="00915005"/>
    <w:rsid w:val="00917042"/>
    <w:rsid w:val="0092157B"/>
    <w:rsid w:val="00951378"/>
    <w:rsid w:val="0096265C"/>
    <w:rsid w:val="00963C9A"/>
    <w:rsid w:val="00967E6A"/>
    <w:rsid w:val="009A6DC2"/>
    <w:rsid w:val="009A7174"/>
    <w:rsid w:val="009B1873"/>
    <w:rsid w:val="009E0DE1"/>
    <w:rsid w:val="00A0227D"/>
    <w:rsid w:val="00A1184B"/>
    <w:rsid w:val="00A11D7F"/>
    <w:rsid w:val="00A17874"/>
    <w:rsid w:val="00A5751D"/>
    <w:rsid w:val="00A6046F"/>
    <w:rsid w:val="00A86D8F"/>
    <w:rsid w:val="00AD6A56"/>
    <w:rsid w:val="00AF164B"/>
    <w:rsid w:val="00AF19FB"/>
    <w:rsid w:val="00AF4DAA"/>
    <w:rsid w:val="00AF4DE7"/>
    <w:rsid w:val="00B00C8D"/>
    <w:rsid w:val="00B02466"/>
    <w:rsid w:val="00B358BB"/>
    <w:rsid w:val="00B47FF0"/>
    <w:rsid w:val="00B52390"/>
    <w:rsid w:val="00B73F64"/>
    <w:rsid w:val="00B801C6"/>
    <w:rsid w:val="00B849E7"/>
    <w:rsid w:val="00B94B47"/>
    <w:rsid w:val="00BC718A"/>
    <w:rsid w:val="00BE231B"/>
    <w:rsid w:val="00BE493F"/>
    <w:rsid w:val="00BF1DE5"/>
    <w:rsid w:val="00C00A2B"/>
    <w:rsid w:val="00C00F29"/>
    <w:rsid w:val="00C271E7"/>
    <w:rsid w:val="00C329C7"/>
    <w:rsid w:val="00C32FF1"/>
    <w:rsid w:val="00C347C2"/>
    <w:rsid w:val="00C5669F"/>
    <w:rsid w:val="00C7666F"/>
    <w:rsid w:val="00C77129"/>
    <w:rsid w:val="00C86629"/>
    <w:rsid w:val="00CB1752"/>
    <w:rsid w:val="00CB69EF"/>
    <w:rsid w:val="00CC16D1"/>
    <w:rsid w:val="00CC534D"/>
    <w:rsid w:val="00CC53F2"/>
    <w:rsid w:val="00CD1778"/>
    <w:rsid w:val="00CD278F"/>
    <w:rsid w:val="00CD36DA"/>
    <w:rsid w:val="00CE2D11"/>
    <w:rsid w:val="00D52CD9"/>
    <w:rsid w:val="00D60280"/>
    <w:rsid w:val="00D65BFA"/>
    <w:rsid w:val="00D733E2"/>
    <w:rsid w:val="00D9673E"/>
    <w:rsid w:val="00DB21CA"/>
    <w:rsid w:val="00DE4E54"/>
    <w:rsid w:val="00DE5075"/>
    <w:rsid w:val="00DF08FC"/>
    <w:rsid w:val="00E0642D"/>
    <w:rsid w:val="00E43B0D"/>
    <w:rsid w:val="00E46601"/>
    <w:rsid w:val="00E57668"/>
    <w:rsid w:val="00E74289"/>
    <w:rsid w:val="00EB22AA"/>
    <w:rsid w:val="00ED60D1"/>
    <w:rsid w:val="00F009C8"/>
    <w:rsid w:val="00F1442D"/>
    <w:rsid w:val="00F46D88"/>
    <w:rsid w:val="00F52311"/>
    <w:rsid w:val="00F53248"/>
    <w:rsid w:val="00F73462"/>
    <w:rsid w:val="00F80779"/>
    <w:rsid w:val="00FC28F3"/>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4763">
      <w:bodyDiv w:val="1"/>
      <w:marLeft w:val="0"/>
      <w:marRight w:val="0"/>
      <w:marTop w:val="0"/>
      <w:marBottom w:val="0"/>
      <w:divBdr>
        <w:top w:val="none" w:sz="0" w:space="0" w:color="auto"/>
        <w:left w:val="none" w:sz="0" w:space="0" w:color="auto"/>
        <w:bottom w:val="none" w:sz="0" w:space="0" w:color="auto"/>
        <w:right w:val="none" w:sz="0" w:space="0" w:color="auto"/>
      </w:divBdr>
    </w:div>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431</Words>
  <Characters>2459</Characters>
  <Application>Microsoft Macintosh Word</Application>
  <DocSecurity>0</DocSecurity>
  <Lines>20</Lines>
  <Paragraphs>5</Paragraphs>
  <ScaleCrop>false</ScaleCrop>
  <Company/>
  <LinksUpToDate>false</LinksUpToDate>
  <CharactersWithSpaces>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111</cp:revision>
  <dcterms:created xsi:type="dcterms:W3CDTF">2017-01-12T15:26:00Z</dcterms:created>
  <dcterms:modified xsi:type="dcterms:W3CDTF">2017-01-24T15:56:00Z</dcterms:modified>
</cp:coreProperties>
</file>