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p w14:paraId="0DB0C32C" w14:textId="679CE87D" w:rsidR="00405380" w:rsidRDefault="00405380" w:rsidP="00EB22AA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From one perspective, indeed, Livingstone’s 1870 Field Diary embodies a first-hand chronicle of the arrival of Arab traders in Manyema and the forays of these traders into new regions to the west and north.</w:t>
      </w:r>
    </w:p>
    <w:p w14:paraId="2EE8EECE" w14:textId="77777777" w:rsidR="00780CEE" w:rsidRDefault="00780CEE" w:rsidP="00EB22AA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563C3128" w14:textId="7BFAF036" w:rsidR="00780CEE" w:rsidRDefault="00780CEE" w:rsidP="00780CEE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The chronicle includes Livingstone’s eye-witness testimony of the damage done by the traders, as when he reports having “passed through nine villages </w:t>
      </w:r>
      <w:r w:rsidRPr="00780CEE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destroyed 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by the worthies who did not wish </w:t>
      </w:r>
      <w:r w:rsidRPr="00780CEE">
        <w:rPr>
          <w:rFonts w:asciiTheme="majorHAnsi" w:hAnsiTheme="majorHAnsi"/>
          <w:color w:val="FABF8F" w:themeColor="accent6" w:themeTint="99"/>
          <w:sz w:val="32"/>
          <w:szCs w:val="32"/>
        </w:rPr>
        <w:t>me to see more of their work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>” (1870a:[26]).</w:t>
      </w:r>
    </w:p>
    <w:p w14:paraId="0180C1EA" w14:textId="77777777" w:rsidR="00405380" w:rsidRDefault="00405380" w:rsidP="00EB22AA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65EE3BBA" w14:textId="1E0C2E63" w:rsidR="00780CEE" w:rsidRDefault="00780CEE" w:rsidP="00EB22AA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There are also multiple, often detailed narratives collected from the traders themselves</w:t>
      </w:r>
      <w:r w:rsidR="00513E93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of violence committed locally 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>in</w:t>
      </w:r>
      <w:r w:rsidR="00513E93">
        <w:rPr>
          <w:rFonts w:asciiTheme="majorHAnsi" w:hAnsiTheme="majorHAnsi"/>
          <w:color w:val="FABF8F" w:themeColor="accent6" w:themeTint="99"/>
          <w:sz w:val="32"/>
          <w:szCs w:val="32"/>
        </w:rPr>
        <w:t>, for instance, Mamohela and Kasongo as well as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further afield in Legaland (1870i:</w:t>
      </w:r>
      <w:r w:rsidRPr="00EB22AA">
        <w:rPr>
          <w:rFonts w:asciiTheme="majorHAnsi" w:hAnsiTheme="majorHAnsi"/>
          <w:color w:val="FABF8F" w:themeColor="accent6" w:themeTint="99"/>
          <w:sz w:val="32"/>
          <w:szCs w:val="32"/>
        </w:rPr>
        <w:t>XXIX-XXXI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>, 1870k:LXXIV, 1870d:{23}-{24}).</w:t>
      </w:r>
    </w:p>
    <w:p w14:paraId="3B1DB016" w14:textId="77777777" w:rsidR="00780CEE" w:rsidRDefault="00780CEE" w:rsidP="00EB22AA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1911CAD0" w14:textId="723FC99D" w:rsidR="00AF19FB" w:rsidRDefault="009E0DE1" w:rsidP="00EB22AA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In the context of</w:t>
      </w:r>
      <w:r w:rsidR="00513E93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marketplace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massacr</w:t>
      </w:r>
      <w:r w:rsidR="00513E93">
        <w:rPr>
          <w:rFonts w:asciiTheme="majorHAnsi" w:hAnsiTheme="majorHAnsi"/>
          <w:color w:val="FABF8F" w:themeColor="accent6" w:themeTint="99"/>
          <w:sz w:val="32"/>
          <w:szCs w:val="32"/>
        </w:rPr>
        <w:t>e Livingstone himself would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</w:t>
      </w:r>
      <w:r w:rsidR="00513E93">
        <w:rPr>
          <w:rFonts w:asciiTheme="majorHAnsi" w:hAnsiTheme="majorHAnsi"/>
          <w:color w:val="FABF8F" w:themeColor="accent6" w:themeTint="99"/>
          <w:sz w:val="32"/>
          <w:szCs w:val="32"/>
        </w:rPr>
        <w:t>experience in July 1871 in Nyangwe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>, the violence</w:t>
      </w:r>
      <w:r w:rsidR="00513E93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described in the 1870 Field Diary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bears an eerie ring of familiarity </w:t>
      </w:r>
      <w:r w:rsidR="00AF19FB">
        <w:rPr>
          <w:rFonts w:asciiTheme="majorHAnsi" w:hAnsiTheme="majorHAnsi"/>
          <w:color w:val="FABF8F" w:themeColor="accent6" w:themeTint="99"/>
          <w:sz w:val="32"/>
          <w:szCs w:val="32"/>
        </w:rPr>
        <w:t>–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</w:t>
      </w:r>
      <w:r w:rsidR="00AF19FB">
        <w:rPr>
          <w:rFonts w:asciiTheme="majorHAnsi" w:hAnsiTheme="majorHAnsi"/>
          <w:color w:val="FABF8F" w:themeColor="accent6" w:themeTint="99"/>
          <w:sz w:val="32"/>
          <w:szCs w:val="32"/>
        </w:rPr>
        <w:t>“</w:t>
      </w:r>
      <w:r w:rsidR="00AF19FB" w:rsidRPr="00AF19FB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these three then fired into a </w:t>
      </w:r>
      <w:r w:rsidR="00AF19FB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mass of </w:t>
      </w:r>
      <w:r w:rsidR="00AF19FB" w:rsidRPr="00AF19FB">
        <w:rPr>
          <w:rFonts w:asciiTheme="majorHAnsi" w:hAnsiTheme="majorHAnsi"/>
          <w:color w:val="FABF8F" w:themeColor="accent6" w:themeTint="99"/>
          <w:sz w:val="32"/>
          <w:szCs w:val="32"/>
        </w:rPr>
        <w:t>men who collected one killed two another three &amp; so on</w:t>
      </w:r>
      <w:r w:rsidR="00AF19FB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” (1870k:LXXIV). </w:t>
      </w:r>
    </w:p>
    <w:p w14:paraId="0351B865" w14:textId="77777777" w:rsidR="00AF19FB" w:rsidRDefault="00AF19FB" w:rsidP="00EB22AA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13AAE95C" w14:textId="52213522" w:rsidR="009E0DE1" w:rsidRDefault="00AF19FB" w:rsidP="00EB22AA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In fact, in the last sentence of the diary, Livingstone looks forward to his imminent arrival in Nyangwe, little suspecting what will soon happen: “</w:t>
      </w:r>
      <w:r w:rsidRPr="00AF19FB">
        <w:rPr>
          <w:rFonts w:asciiTheme="majorHAnsi" w:hAnsiTheme="majorHAnsi"/>
          <w:color w:val="FABF8F" w:themeColor="accent6" w:themeTint="99"/>
          <w:sz w:val="32"/>
          <w:szCs w:val="32"/>
        </w:rPr>
        <w:t>I h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ope to go tomorrow towards the </w:t>
      </w:r>
      <w:r w:rsidRPr="00AF19FB">
        <w:rPr>
          <w:rFonts w:asciiTheme="majorHAnsi" w:hAnsiTheme="majorHAnsi"/>
          <w:color w:val="FABF8F" w:themeColor="accent6" w:themeTint="99"/>
          <w:sz w:val="32"/>
          <w:szCs w:val="32"/>
        </w:rPr>
        <w:t>sokoni or great market of this region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>” (1871e:CI).</w:t>
      </w:r>
    </w:p>
    <w:p w14:paraId="14267935" w14:textId="77777777" w:rsidR="00513E93" w:rsidRDefault="00513E93" w:rsidP="00EB22AA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2304B2C2" w14:textId="77777777" w:rsidR="00513E93" w:rsidRDefault="00513E93" w:rsidP="00EB22AA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170EA59F" w14:textId="6A4DBB77" w:rsidR="000F53A8" w:rsidRDefault="000F53A8" w:rsidP="00EB22AA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As might be expected, the violence that continuously surrounds Livingstone makes a significant impact on his mental well-being and, as a result, on his representations in the diary.</w:t>
      </w:r>
    </w:p>
    <w:p w14:paraId="07DD7D04" w14:textId="77777777" w:rsidR="000F53A8" w:rsidRDefault="000F53A8" w:rsidP="00EB22AA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5711BE18" w14:textId="6F30B387" w:rsidR="000F53A8" w:rsidRDefault="000F53A8" w:rsidP="00EB22AA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At times, he attempts to separate the Arab traders</w:t>
      </w:r>
      <w:r w:rsidR="006A1691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and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their followers</w:t>
      </w:r>
      <w:r w:rsidR="006A1691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and places the blame squarely on the pettiness of the latter: “</w:t>
      </w:r>
      <w:r w:rsidR="006A1691" w:rsidRPr="006A1691">
        <w:rPr>
          <w:rFonts w:asciiTheme="majorHAnsi" w:hAnsiTheme="majorHAnsi"/>
          <w:color w:val="FABF8F" w:themeColor="accent6" w:themeTint="99"/>
          <w:sz w:val="32"/>
          <w:szCs w:val="32"/>
        </w:rPr>
        <w:t>T</w:t>
      </w:r>
      <w:r w:rsidR="006A1691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he nine villages and a 100 men </w:t>
      </w:r>
      <w:r w:rsidR="006A1691" w:rsidRPr="006A1691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killed by Katomba’s slaves at Nasangwa were all </w:t>
      </w:r>
      <w:r w:rsidR="006A1691" w:rsidRPr="006A1691">
        <w:rPr>
          <w:rFonts w:asciiTheme="majorHAnsi" w:hAnsiTheme="majorHAnsi"/>
          <w:color w:val="FABF8F" w:themeColor="accent6" w:themeTint="99"/>
          <w:sz w:val="32"/>
          <w:szCs w:val="32"/>
        </w:rPr>
        <w:lastRenderedPageBreak/>
        <w:t>about a string of b</w:t>
      </w:r>
      <w:r w:rsidR="006A1691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eads fastened to a powder horn </w:t>
      </w:r>
      <w:r w:rsidR="006A1691" w:rsidRPr="006A1691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which a </w:t>
      </w:r>
      <w:r w:rsidR="006A1691">
        <w:rPr>
          <w:rFonts w:asciiTheme="majorHAnsi" w:hAnsiTheme="majorHAnsi"/>
          <w:color w:val="FABF8F" w:themeColor="accent6" w:themeTint="99"/>
          <w:sz w:val="32"/>
          <w:szCs w:val="32"/>
        </w:rPr>
        <w:t>[M]</w:t>
      </w:r>
      <w:r w:rsidR="006A1691" w:rsidRPr="006A1691">
        <w:rPr>
          <w:rFonts w:asciiTheme="majorHAnsi" w:hAnsiTheme="majorHAnsi"/>
          <w:color w:val="FABF8F" w:themeColor="accent6" w:themeTint="99"/>
          <w:sz w:val="32"/>
          <w:szCs w:val="32"/>
        </w:rPr>
        <w:t>anyema man tried in vain to steal</w:t>
      </w:r>
      <w:r w:rsidR="006A1691">
        <w:rPr>
          <w:rFonts w:asciiTheme="majorHAnsi" w:hAnsiTheme="majorHAnsi"/>
          <w:color w:val="FABF8F" w:themeColor="accent6" w:themeTint="99"/>
          <w:sz w:val="32"/>
          <w:szCs w:val="32"/>
        </w:rPr>
        <w:t>” (1870e:X).</w:t>
      </w:r>
    </w:p>
    <w:p w14:paraId="304BDF4B" w14:textId="77777777" w:rsidR="006A1691" w:rsidRDefault="006A1691" w:rsidP="00EB22AA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62D8C9E8" w14:textId="497746CF" w:rsidR="006A1691" w:rsidRDefault="006A1691" w:rsidP="00EB22AA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At times, Livingstone lumps </w:t>
      </w:r>
      <w:r w:rsidR="00E80F72">
        <w:rPr>
          <w:rFonts w:asciiTheme="majorHAnsi" w:hAnsiTheme="majorHAnsi"/>
          <w:color w:val="FABF8F" w:themeColor="accent6" w:themeTint="99"/>
          <w:sz w:val="32"/>
          <w:szCs w:val="32"/>
        </w:rPr>
        <w:t>the different traders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together, differentiating only by degree: “</w:t>
      </w:r>
      <w:r w:rsidRPr="006A1691">
        <w:rPr>
          <w:rFonts w:asciiTheme="majorHAnsi" w:hAnsiTheme="majorHAnsi"/>
          <w:color w:val="FABF8F" w:themeColor="accent6" w:themeTint="99"/>
          <w:sz w:val="32"/>
          <w:szCs w:val="32"/>
        </w:rPr>
        <w:t>The traders from Ujiji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</w:t>
      </w:r>
      <w:r w:rsidRPr="006A1691">
        <w:rPr>
          <w:rFonts w:asciiTheme="majorHAnsi" w:hAnsiTheme="majorHAnsi"/>
          <w:color w:val="FABF8F" w:themeColor="accent6" w:themeTint="99"/>
          <w:sz w:val="32"/>
          <w:szCs w:val="32"/>
        </w:rPr>
        <w:t>are simp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ly marauders, and their people </w:t>
      </w:r>
      <w:r w:rsidRPr="006A1691">
        <w:rPr>
          <w:rFonts w:asciiTheme="majorHAnsi" w:hAnsiTheme="majorHAnsi"/>
          <w:color w:val="FABF8F" w:themeColor="accent6" w:themeTint="99"/>
          <w:sz w:val="32"/>
          <w:szCs w:val="32"/>
        </w:rPr>
        <w:t>worse than th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emselves thirst for blood more </w:t>
      </w:r>
      <w:r w:rsidRPr="006A1691">
        <w:rPr>
          <w:rFonts w:asciiTheme="majorHAnsi" w:hAnsiTheme="majorHAnsi"/>
          <w:color w:val="FABF8F" w:themeColor="accent6" w:themeTint="99"/>
          <w:sz w:val="32"/>
          <w:szCs w:val="32"/>
        </w:rPr>
        <w:t>than for ivory - Each l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ongs to be able to tell a tale </w:t>
      </w:r>
      <w:r w:rsidRPr="006A1691">
        <w:rPr>
          <w:rFonts w:asciiTheme="majorHAnsi" w:hAnsiTheme="majorHAnsi"/>
          <w:color w:val="FABF8F" w:themeColor="accent6" w:themeTint="99"/>
          <w:sz w:val="32"/>
          <w:szCs w:val="32"/>
        </w:rPr>
        <w:t>of blood, and Manyema are an easy prey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>” (1871e:XCVII).</w:t>
      </w:r>
    </w:p>
    <w:p w14:paraId="513C1918" w14:textId="77777777" w:rsidR="00405380" w:rsidRDefault="00405380" w:rsidP="00EB22AA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6591F216" w14:textId="7420FB9F" w:rsidR="005D5DFB" w:rsidRDefault="005D5DFB" w:rsidP="00EB22AA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He also underscores his inability to reconcile the kindness of the Arabs towards him and their conduct in nonetheless taking “</w:t>
      </w:r>
      <w:r w:rsidRPr="005D5DFB">
        <w:rPr>
          <w:rFonts w:asciiTheme="majorHAnsi" w:hAnsiTheme="majorHAnsi"/>
          <w:color w:val="FABF8F" w:themeColor="accent6" w:themeTint="99"/>
          <w:sz w:val="32"/>
          <w:szCs w:val="32"/>
        </w:rPr>
        <w:t>their share of the spoil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>[s]” collected by their followers (1866-72:[653]).</w:t>
      </w:r>
    </w:p>
    <w:p w14:paraId="3061FCE5" w14:textId="77777777" w:rsidR="005D5DFB" w:rsidRDefault="005D5DFB" w:rsidP="00EB22AA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3A2FBA07" w14:textId="77777777" w:rsidR="005D5DFB" w:rsidRDefault="005D5DFB" w:rsidP="00EB22AA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54007A67" w14:textId="055CBBBF" w:rsidR="005D5DFB" w:rsidRDefault="005D5DFB" w:rsidP="00EB22AA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The complexity on the events on the ground thus puts Livingstone in a complicated situation. </w:t>
      </w:r>
    </w:p>
    <w:p w14:paraId="020E9AFE" w14:textId="77777777" w:rsidR="005D5DFB" w:rsidRDefault="005D5DFB" w:rsidP="00EB22AA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519B4E14" w14:textId="290F5937" w:rsidR="005D5DFB" w:rsidRDefault="005D5DFB" w:rsidP="00EB22AA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Throughout the span of the 1870 Field Diary, he gains repeat, first-hand experience of the impact of the Arab traders on the local populations in Manyema. </w:t>
      </w:r>
    </w:p>
    <w:p w14:paraId="4CDE5CC9" w14:textId="77777777" w:rsidR="005D5DFB" w:rsidRDefault="005D5DFB" w:rsidP="00EB22AA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099A61A4" w14:textId="57B4CED3" w:rsidR="005D5DFB" w:rsidRDefault="005D5DFB" w:rsidP="00EB22AA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He also observes how the local populations play into this violence,</w:t>
      </w:r>
      <w:r w:rsidR="00E80F72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by attempting to use</w:t>
      </w:r>
      <w:r w:rsidR="007F2270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the Arab traders </w:t>
      </w:r>
      <w:r w:rsidR="00E80F72">
        <w:rPr>
          <w:rFonts w:asciiTheme="majorHAnsi" w:hAnsiTheme="majorHAnsi"/>
          <w:color w:val="FABF8F" w:themeColor="accent6" w:themeTint="99"/>
          <w:sz w:val="32"/>
          <w:szCs w:val="32"/>
        </w:rPr>
        <w:t>for</w:t>
      </w:r>
      <w:r w:rsidR="007F2270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local conflicts (e.g., 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</w:t>
      </w:r>
      <w:r w:rsidR="007F2270">
        <w:rPr>
          <w:rFonts w:asciiTheme="majorHAnsi" w:hAnsiTheme="majorHAnsi"/>
          <w:color w:val="FABF8F" w:themeColor="accent6" w:themeTint="99"/>
          <w:sz w:val="32"/>
          <w:szCs w:val="32"/>
        </w:rPr>
        <w:t>1870g:{29}) or by themselves beginning to imitate the violence of the traders (</w:t>
      </w:r>
      <w:r w:rsidR="00073472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e.g., </w:t>
      </w:r>
      <w:r w:rsidR="007F2270">
        <w:rPr>
          <w:rFonts w:asciiTheme="majorHAnsi" w:hAnsiTheme="majorHAnsi"/>
          <w:color w:val="FABF8F" w:themeColor="accent6" w:themeTint="99"/>
          <w:sz w:val="32"/>
          <w:szCs w:val="32"/>
        </w:rPr>
        <w:t>1870k:LXXIV</w:t>
      </w:r>
      <w:r w:rsidR="00073472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, </w:t>
      </w:r>
      <w:r w:rsidR="007F2270">
        <w:rPr>
          <w:rFonts w:asciiTheme="majorHAnsi" w:hAnsiTheme="majorHAnsi"/>
          <w:color w:val="FABF8F" w:themeColor="accent6" w:themeTint="99"/>
          <w:sz w:val="32"/>
          <w:szCs w:val="32"/>
        </w:rPr>
        <w:t>1870i:XXVII).</w:t>
      </w:r>
    </w:p>
    <w:p w14:paraId="3F51B8F8" w14:textId="77777777" w:rsidR="00F73462" w:rsidRDefault="00F73462" w:rsidP="00EB22AA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38BCADF4" w14:textId="77777777" w:rsidR="006759FD" w:rsidRDefault="00F73462" w:rsidP="00EB22AA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Finally, Livingstone, a devout Christian, finds that he simply cannot make sense of the contrast between his own work as a missionary – however nominal at this stage in his career – and the failure of the Arabs and their followers to harbor any similar such </w:t>
      </w:r>
      <w:r w:rsidR="006759FD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ambitions in terms of spreading Islam (1870k:LXXIV, 1871e:C-CI). </w:t>
      </w:r>
    </w:p>
    <w:p w14:paraId="3D31E513" w14:textId="29BAB9A6" w:rsidR="00F73462" w:rsidRDefault="006759FD" w:rsidP="00EB22AA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Rather, on the last page of the 1870 Field Diary he </w:t>
      </w:r>
      <w:r w:rsidR="00563110">
        <w:rPr>
          <w:rFonts w:asciiTheme="majorHAnsi" w:hAnsiTheme="majorHAnsi"/>
          <w:color w:val="FABF8F" w:themeColor="accent6" w:themeTint="99"/>
          <w:sz w:val="32"/>
          <w:szCs w:val="32"/>
        </w:rPr>
        <w:t>writes, that in East Africa the traders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have “propagated nothing but </w:t>
      </w:r>
      <w:r w:rsidRPr="006759FD">
        <w:rPr>
          <w:rFonts w:asciiTheme="majorHAnsi" w:hAnsiTheme="majorHAnsi"/>
          <w:color w:val="FABF8F" w:themeColor="accent6" w:themeTint="99"/>
          <w:sz w:val="32"/>
          <w:szCs w:val="32"/>
        </w:rPr>
        <w:t>syphilis and the domestic bug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>” (1871e:CI).</w:t>
      </w:r>
    </w:p>
    <w:p w14:paraId="6141F7AB" w14:textId="77777777" w:rsidR="002A356A" w:rsidRDefault="002A356A" w:rsidP="00EB22AA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3AC74718" w14:textId="77777777" w:rsidR="002A356A" w:rsidRDefault="002A356A" w:rsidP="00EB22AA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0291BB31" w14:textId="0022ECD9" w:rsidR="00022FDA" w:rsidRDefault="00F46D88" w:rsidP="00EB22AA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These circumstances engender some of the most vituperative language in the 1870 Field Diary. </w:t>
      </w:r>
    </w:p>
    <w:p w14:paraId="579166D5" w14:textId="77777777" w:rsidR="00F46D88" w:rsidRDefault="00F46D88" w:rsidP="00EB22AA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2BC705BE" w14:textId="0E953F12" w:rsidR="00022FDA" w:rsidRDefault="00F46D88" w:rsidP="00EB22AA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In reflecting on the conduct of the Arab traders in Central Africa, Livingstone in turn assails </w:t>
      </w:r>
      <w:r w:rsidR="00E80F72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1) 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the falsehood of the traders with whom he is personally acquainted, </w:t>
      </w:r>
      <w:r w:rsidR="00E80F72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2) 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some of the foundational ideas of Islam, </w:t>
      </w:r>
      <w:r w:rsidR="00E80F72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3) 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its holiest city to which he ascribes the spread of cholera across East Africa and into Central Africa, and, finally, </w:t>
      </w:r>
      <w:r w:rsidR="00E80F72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4) 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>the founder of the religion himself (</w:t>
      </w:r>
      <w:r w:rsidR="004941DB">
        <w:rPr>
          <w:rFonts w:asciiTheme="majorHAnsi" w:hAnsiTheme="majorHAnsi"/>
          <w:color w:val="FABF8F" w:themeColor="accent6" w:themeTint="99"/>
          <w:sz w:val="32"/>
          <w:szCs w:val="32"/>
        </w:rPr>
        <w:t>1871e:LXXIX, LXXXI-LXXXIII, XCVIII).</w:t>
      </w:r>
    </w:p>
    <w:p w14:paraId="4E6F4FC4" w14:textId="77777777" w:rsidR="00E80F72" w:rsidRDefault="00E80F72" w:rsidP="00EB22AA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1F53E740" w14:textId="301DF188" w:rsidR="00E80F72" w:rsidRDefault="00E80F72" w:rsidP="00EB22AA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One example of Livingstone’s language suffices to convey the whole: “[The cholera at Zanzibar]</w:t>
      </w:r>
      <w:r w:rsidRPr="00E80F72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we get from Mecca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</w:t>
      </w:r>
      <w:r w:rsidRPr="00E80F72">
        <w:rPr>
          <w:rFonts w:asciiTheme="majorHAnsi" w:hAnsiTheme="majorHAnsi"/>
          <w:color w:val="FABF8F" w:themeColor="accent6" w:themeTint="99"/>
          <w:sz w:val="32"/>
          <w:szCs w:val="32"/>
        </w:rPr>
        <w:t>filth - nothing was d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one to prevent the place being </w:t>
      </w:r>
      <w:r w:rsidRPr="00E80F72">
        <w:rPr>
          <w:rFonts w:asciiTheme="majorHAnsi" w:hAnsiTheme="majorHAnsi"/>
          <w:color w:val="FABF8F" w:themeColor="accent6" w:themeTint="99"/>
          <w:sz w:val="32"/>
          <w:szCs w:val="32"/>
        </w:rPr>
        <w:t>made a perfect cesspool of animals guts &amp; ordure of men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>” (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>1871e:LXXIX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>).</w:t>
      </w:r>
    </w:p>
    <w:p w14:paraId="1B049D64" w14:textId="77777777" w:rsidR="006759FD" w:rsidRDefault="006759FD" w:rsidP="00EB22AA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01D16788" w14:textId="5CDF8B99" w:rsidR="006759FD" w:rsidRDefault="00E80F72" w:rsidP="00EB22AA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Further examples</w:t>
      </w:r>
      <w:r w:rsidR="004941DB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can be consulted via the images and transcriptions of the original manuscripts available through our critical edition.</w:t>
      </w:r>
    </w:p>
    <w:p w14:paraId="3F68BFD1" w14:textId="77777777" w:rsidR="00342742" w:rsidRDefault="00342742" w:rsidP="00EB22AA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30939283" w14:textId="05840C39" w:rsidR="00342742" w:rsidRDefault="0099591C" w:rsidP="00EB22AA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We have chosen to publish the passages</w:t>
      </w:r>
      <w:r w:rsidR="00342742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in keeping with our commitment to dealing with our historical materials honestly, 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>including in those instances</w:t>
      </w:r>
      <w:r w:rsidR="00342742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when they do not conform </w:t>
      </w:r>
      <w:r w:rsidR="00644CCA">
        <w:rPr>
          <w:rFonts w:asciiTheme="majorHAnsi" w:hAnsiTheme="majorHAnsi"/>
          <w:color w:val="FABF8F" w:themeColor="accent6" w:themeTint="99"/>
          <w:sz w:val="32"/>
          <w:szCs w:val="32"/>
        </w:rPr>
        <w:t>to our own ideas or to positions we would want the materials</w:t>
      </w:r>
      <w:r w:rsidR="00342742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to take.</w:t>
      </w:r>
    </w:p>
    <w:p w14:paraId="0D26C92B" w14:textId="77777777" w:rsidR="00342742" w:rsidRDefault="00342742" w:rsidP="00EB22AA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3ABF69DB" w14:textId="77777777" w:rsidR="003F78D3" w:rsidRDefault="00342742" w:rsidP="00EB22AA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In the present case, from the vantage of 2017, the passages in questio</w:t>
      </w:r>
      <w:r w:rsidR="003F78D3">
        <w:rPr>
          <w:rFonts w:asciiTheme="majorHAnsi" w:hAnsiTheme="majorHAnsi"/>
          <w:color w:val="FABF8F" w:themeColor="accent6" w:themeTint="99"/>
          <w:sz w:val="32"/>
          <w:szCs w:val="32"/>
        </w:rPr>
        <w:t>n make for painful reading.</w:t>
      </w:r>
    </w:p>
    <w:p w14:paraId="0A31473D" w14:textId="77777777" w:rsidR="003F78D3" w:rsidRDefault="003F78D3" w:rsidP="00EB22AA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7605CBEB" w14:textId="500E11C9" w:rsidR="00BE493F" w:rsidRPr="00342742" w:rsidRDefault="003F78D3" w:rsidP="00EB22AA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Although it’s</w:t>
      </w:r>
      <w:r w:rsidR="00342742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tempting to take the </w:t>
      </w:r>
      <w:r w:rsidR="0099591C">
        <w:rPr>
          <w:rFonts w:asciiTheme="majorHAnsi" w:hAnsiTheme="majorHAnsi"/>
          <w:color w:val="FABF8F" w:themeColor="accent6" w:themeTint="99"/>
          <w:sz w:val="32"/>
          <w:szCs w:val="32"/>
        </w:rPr>
        <w:t>stance</w:t>
      </w:r>
      <w:r w:rsidR="00342742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that such representations “invariably reflected the ideas of difference prevalent in [explorers’] own society at the time they wrote their travel narratives” (Kennedy 2013:202), </w:t>
      </w:r>
      <w:r w:rsidR="0099591C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or to read the passages 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against the Central African historical contexts set out throughout this essay, it’s </w:t>
      </w:r>
      <w:r w:rsidR="005928A3">
        <w:rPr>
          <w:rFonts w:asciiTheme="majorHAnsi" w:hAnsiTheme="majorHAnsi"/>
          <w:color w:val="FABF8F" w:themeColor="accent6" w:themeTint="99"/>
          <w:sz w:val="32"/>
          <w:szCs w:val="32"/>
        </w:rPr>
        <w:t>also not easy to dismiss them so summarily given Livingstone’s close relations with some of the traders and his ability</w:t>
      </w:r>
      <w:r w:rsidR="0099591C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– in other cases –</w:t>
      </w:r>
      <w:r w:rsidR="005928A3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t</w:t>
      </w:r>
      <w:bookmarkStart w:id="0" w:name="_GoBack"/>
      <w:bookmarkEnd w:id="0"/>
      <w:r w:rsidR="005928A3">
        <w:rPr>
          <w:rFonts w:asciiTheme="majorHAnsi" w:hAnsiTheme="majorHAnsi"/>
          <w:color w:val="FABF8F" w:themeColor="accent6" w:themeTint="99"/>
          <w:sz w:val="32"/>
          <w:szCs w:val="32"/>
        </w:rPr>
        <w:t>o think beyond the racial ideas of times in terms of many of the African populations he encountered.</w:t>
      </w:r>
    </w:p>
    <w:sectPr w:rsidR="00BE493F" w:rsidRPr="00342742" w:rsidSect="00C7666F"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AED"/>
    <w:rsid w:val="00017FAB"/>
    <w:rsid w:val="00022FDA"/>
    <w:rsid w:val="000419AC"/>
    <w:rsid w:val="0005366C"/>
    <w:rsid w:val="00053BE4"/>
    <w:rsid w:val="00065940"/>
    <w:rsid w:val="00073472"/>
    <w:rsid w:val="00076062"/>
    <w:rsid w:val="00093F8A"/>
    <w:rsid w:val="000A46C0"/>
    <w:rsid w:val="000A742D"/>
    <w:rsid w:val="000B1C88"/>
    <w:rsid w:val="000B566C"/>
    <w:rsid w:val="000B5C22"/>
    <w:rsid w:val="000C2EEE"/>
    <w:rsid w:val="000C3735"/>
    <w:rsid w:val="000D7D6D"/>
    <w:rsid w:val="000E5B45"/>
    <w:rsid w:val="000E7530"/>
    <w:rsid w:val="000F53A8"/>
    <w:rsid w:val="000F5517"/>
    <w:rsid w:val="00103A4F"/>
    <w:rsid w:val="00112805"/>
    <w:rsid w:val="001345E7"/>
    <w:rsid w:val="00180FEA"/>
    <w:rsid w:val="001C4FE3"/>
    <w:rsid w:val="001F1F65"/>
    <w:rsid w:val="001F65FB"/>
    <w:rsid w:val="001F78ED"/>
    <w:rsid w:val="002045AF"/>
    <w:rsid w:val="00206A44"/>
    <w:rsid w:val="00251FBC"/>
    <w:rsid w:val="00292B11"/>
    <w:rsid w:val="002A19DF"/>
    <w:rsid w:val="002A356A"/>
    <w:rsid w:val="002C17CD"/>
    <w:rsid w:val="002C6836"/>
    <w:rsid w:val="002F0845"/>
    <w:rsid w:val="002F51CD"/>
    <w:rsid w:val="00321AED"/>
    <w:rsid w:val="003375DA"/>
    <w:rsid w:val="00342742"/>
    <w:rsid w:val="003443EC"/>
    <w:rsid w:val="0035578B"/>
    <w:rsid w:val="00364B4B"/>
    <w:rsid w:val="00382465"/>
    <w:rsid w:val="00390127"/>
    <w:rsid w:val="003B32B4"/>
    <w:rsid w:val="003C1ED9"/>
    <w:rsid w:val="003E647C"/>
    <w:rsid w:val="003F78D3"/>
    <w:rsid w:val="00405380"/>
    <w:rsid w:val="00412384"/>
    <w:rsid w:val="004148AD"/>
    <w:rsid w:val="004201B0"/>
    <w:rsid w:val="00435155"/>
    <w:rsid w:val="004402B9"/>
    <w:rsid w:val="0045629E"/>
    <w:rsid w:val="00457F13"/>
    <w:rsid w:val="004775B8"/>
    <w:rsid w:val="004941DB"/>
    <w:rsid w:val="004A010C"/>
    <w:rsid w:val="004B5A42"/>
    <w:rsid w:val="004C4CCD"/>
    <w:rsid w:val="004D74E3"/>
    <w:rsid w:val="004E469E"/>
    <w:rsid w:val="005014E1"/>
    <w:rsid w:val="0051029A"/>
    <w:rsid w:val="00513E93"/>
    <w:rsid w:val="00517FE3"/>
    <w:rsid w:val="00527EC5"/>
    <w:rsid w:val="00546DF9"/>
    <w:rsid w:val="00554AE0"/>
    <w:rsid w:val="005553E4"/>
    <w:rsid w:val="00563110"/>
    <w:rsid w:val="00564B52"/>
    <w:rsid w:val="00566858"/>
    <w:rsid w:val="005928A3"/>
    <w:rsid w:val="005C7845"/>
    <w:rsid w:val="005D5DFB"/>
    <w:rsid w:val="005F7EE4"/>
    <w:rsid w:val="0061457E"/>
    <w:rsid w:val="00644CCA"/>
    <w:rsid w:val="00650BE1"/>
    <w:rsid w:val="00667A8D"/>
    <w:rsid w:val="00674D34"/>
    <w:rsid w:val="006759FD"/>
    <w:rsid w:val="006A1691"/>
    <w:rsid w:val="006A7CE7"/>
    <w:rsid w:val="006D7496"/>
    <w:rsid w:val="006E1A67"/>
    <w:rsid w:val="00700000"/>
    <w:rsid w:val="00716876"/>
    <w:rsid w:val="0073387E"/>
    <w:rsid w:val="0073798F"/>
    <w:rsid w:val="0074798F"/>
    <w:rsid w:val="007523C9"/>
    <w:rsid w:val="00755F1E"/>
    <w:rsid w:val="00762CC3"/>
    <w:rsid w:val="00780CEE"/>
    <w:rsid w:val="007844B7"/>
    <w:rsid w:val="00791F66"/>
    <w:rsid w:val="007923EE"/>
    <w:rsid w:val="007A0887"/>
    <w:rsid w:val="007B4D13"/>
    <w:rsid w:val="007B5B06"/>
    <w:rsid w:val="007D6110"/>
    <w:rsid w:val="007F0382"/>
    <w:rsid w:val="007F2270"/>
    <w:rsid w:val="007F5B6D"/>
    <w:rsid w:val="00833DE9"/>
    <w:rsid w:val="00850941"/>
    <w:rsid w:val="0086433D"/>
    <w:rsid w:val="008B228B"/>
    <w:rsid w:val="008C77B3"/>
    <w:rsid w:val="008E0837"/>
    <w:rsid w:val="008F3F23"/>
    <w:rsid w:val="00907FC5"/>
    <w:rsid w:val="00915005"/>
    <w:rsid w:val="00917042"/>
    <w:rsid w:val="0092157B"/>
    <w:rsid w:val="00951378"/>
    <w:rsid w:val="0096265C"/>
    <w:rsid w:val="00963C9A"/>
    <w:rsid w:val="00967E6A"/>
    <w:rsid w:val="0099591C"/>
    <w:rsid w:val="009A6DC2"/>
    <w:rsid w:val="009A7174"/>
    <w:rsid w:val="009B1873"/>
    <w:rsid w:val="009E0DE1"/>
    <w:rsid w:val="00A1184B"/>
    <w:rsid w:val="00A11D7F"/>
    <w:rsid w:val="00A17874"/>
    <w:rsid w:val="00A6046F"/>
    <w:rsid w:val="00A86D8F"/>
    <w:rsid w:val="00AF164B"/>
    <w:rsid w:val="00AF19FB"/>
    <w:rsid w:val="00AF4DAA"/>
    <w:rsid w:val="00AF4DE7"/>
    <w:rsid w:val="00B00C8D"/>
    <w:rsid w:val="00B02466"/>
    <w:rsid w:val="00B358BB"/>
    <w:rsid w:val="00B47FF0"/>
    <w:rsid w:val="00B52390"/>
    <w:rsid w:val="00B73F64"/>
    <w:rsid w:val="00B801C6"/>
    <w:rsid w:val="00B849E7"/>
    <w:rsid w:val="00BC718A"/>
    <w:rsid w:val="00BE231B"/>
    <w:rsid w:val="00BE493F"/>
    <w:rsid w:val="00BF1DE5"/>
    <w:rsid w:val="00C00F29"/>
    <w:rsid w:val="00C329C7"/>
    <w:rsid w:val="00C347C2"/>
    <w:rsid w:val="00C5669F"/>
    <w:rsid w:val="00C7666F"/>
    <w:rsid w:val="00C77129"/>
    <w:rsid w:val="00CB1752"/>
    <w:rsid w:val="00CC534D"/>
    <w:rsid w:val="00CC53F2"/>
    <w:rsid w:val="00CD1778"/>
    <w:rsid w:val="00CD278F"/>
    <w:rsid w:val="00CD36DA"/>
    <w:rsid w:val="00CE2D11"/>
    <w:rsid w:val="00D52CD9"/>
    <w:rsid w:val="00D60280"/>
    <w:rsid w:val="00D65BFA"/>
    <w:rsid w:val="00D9673E"/>
    <w:rsid w:val="00DB21CA"/>
    <w:rsid w:val="00DE4E54"/>
    <w:rsid w:val="00DE5075"/>
    <w:rsid w:val="00DF08FC"/>
    <w:rsid w:val="00E0642D"/>
    <w:rsid w:val="00E43B0D"/>
    <w:rsid w:val="00E46601"/>
    <w:rsid w:val="00E57668"/>
    <w:rsid w:val="00E74289"/>
    <w:rsid w:val="00E80F72"/>
    <w:rsid w:val="00EB22AA"/>
    <w:rsid w:val="00ED60D1"/>
    <w:rsid w:val="00F009C8"/>
    <w:rsid w:val="00F1442D"/>
    <w:rsid w:val="00F46D88"/>
    <w:rsid w:val="00F52311"/>
    <w:rsid w:val="00F53248"/>
    <w:rsid w:val="00F73462"/>
    <w:rsid w:val="00F80779"/>
    <w:rsid w:val="00FC28F3"/>
    <w:rsid w:val="00FE3647"/>
    <w:rsid w:val="00FF4EB9"/>
    <w:rsid w:val="00FF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3213]"/>
    </o:shapedefaults>
    <o:shapelayout v:ext="edit">
      <o:idmap v:ext="edit" data="1"/>
    </o:shapelayout>
  </w:shapeDefaults>
  <w:decimalSymbol w:val="."/>
  <w:listSeparator w:val=","/>
  <w14:docId w14:val="670395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4</Pages>
  <Words>749</Words>
  <Characters>4275</Characters>
  <Application>Microsoft Macintosh Word</Application>
  <DocSecurity>0</DocSecurity>
  <Lines>35</Lines>
  <Paragraphs>10</Paragraphs>
  <ScaleCrop>false</ScaleCrop>
  <Company/>
  <LinksUpToDate>false</LinksUpToDate>
  <CharactersWithSpaces>5014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95</cp:revision>
  <dcterms:created xsi:type="dcterms:W3CDTF">2017-01-12T15:26:00Z</dcterms:created>
  <dcterms:modified xsi:type="dcterms:W3CDTF">2017-01-19T14:41:00Z</dcterms:modified>
</cp:coreProperties>
</file>