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9611E37" w14:textId="2FFEA279" w:rsidR="00AD7998" w:rsidRDefault="00CC001A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other words, the local populations in the vicinity of Bambarre begin to cultivate indeterminate, unpredictable behavior as a strategy of war alongside more open physical violence.</w:t>
      </w:r>
    </w:p>
    <w:p w14:paraId="198EE0C6" w14:textId="77777777" w:rsidR="00CC001A" w:rsidRDefault="00CC001A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951D8A9" w14:textId="0803EB18" w:rsidR="00CC001A" w:rsidRDefault="00CC001A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</w:t>
      </w:r>
      <w:r w:rsidR="00081F8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1870 Field Diary’s running commentary on the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cannibalism of the population at Bambarre best instantiates this dynamic.</w:t>
      </w:r>
    </w:p>
    <w:p w14:paraId="44C305D8" w14:textId="77777777" w:rsidR="00CC001A" w:rsidRDefault="00CC001A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3AE6EFD" w14:textId="77777777" w:rsidR="00D60832" w:rsidRDefault="00D60832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8C3FB26" w14:textId="6186A5D0" w:rsidR="00CC001A" w:rsidRDefault="00CC001A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the diary and, indeed, in other documents from this period, Livingstone makes repeat references to his fear that the people of Bambarre are cannibals.</w:t>
      </w:r>
    </w:p>
    <w:p w14:paraId="29F27C9B" w14:textId="77777777" w:rsidR="00081F83" w:rsidRDefault="00081F83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FA0B5A1" w14:textId="12656A9E" w:rsidR="00081F83" w:rsidRDefault="00081F83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For example, the diary opens with a discussion of local cannibalism in relation to funeral practices (1870a:[1]-[6]), and, later, Livingstone offers a geneology of the practice by linking it to the local practice of eating sokos (i.e., gorillas) (1870c:IV).</w:t>
      </w:r>
    </w:p>
    <w:p w14:paraId="195EA820" w14:textId="77777777" w:rsidR="00081F83" w:rsidRDefault="00081F83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6FA186C" w14:textId="77777777" w:rsidR="006F3D6E" w:rsidRDefault="006F3D6E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F649423" w14:textId="3093EB9E" w:rsidR="00081F83" w:rsidRDefault="00081F83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Yet such defintive statements also stands alongside more tentative assertions.</w:t>
      </w:r>
    </w:p>
    <w:p w14:paraId="38303649" w14:textId="77777777" w:rsidR="00081F83" w:rsidRDefault="00081F83" w:rsidP="00081F8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5CF2E4E" w14:textId="365A2299" w:rsidR="00081F83" w:rsidRDefault="00081F83" w:rsidP="00081F8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one case, Livingstone </w:t>
      </w:r>
      <w:r w:rsidR="00D60832">
        <w:rPr>
          <w:rFonts w:asciiTheme="majorHAnsi" w:hAnsiTheme="majorHAnsi"/>
          <w:color w:val="FABF8F" w:themeColor="accent6" w:themeTint="99"/>
          <w:sz w:val="32"/>
          <w:szCs w:val="32"/>
        </w:rPr>
        <w:t>opens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his letter to Lord Stanley by describing Manyema as the country of “the </w:t>
      </w:r>
      <w:r w:rsidRPr="00081F83">
        <w:rPr>
          <w:rFonts w:asciiTheme="majorHAnsi" w:hAnsiTheme="majorHAnsi"/>
          <w:i/>
          <w:color w:val="FABF8F" w:themeColor="accent6" w:themeTint="99"/>
          <w:sz w:val="32"/>
          <w:szCs w:val="32"/>
        </w:rPr>
        <w:t>reputed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cannibals” (1870i:XLI, emphasis added).</w:t>
      </w:r>
    </w:p>
    <w:p w14:paraId="55547321" w14:textId="77777777" w:rsidR="00081F83" w:rsidRDefault="00081F83" w:rsidP="00081F8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3D199CC" w14:textId="129D48AF" w:rsidR="00081F83" w:rsidRDefault="00081F83" w:rsidP="00081F8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another, he notes that the population now engages in the practice </w:t>
      </w:r>
      <w:r w:rsidR="006F3D6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secret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because of the manifest disgust of the traders</w:t>
      </w:r>
      <w:r w:rsidR="006F3D6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(1870k:LXXV).</w:t>
      </w:r>
    </w:p>
    <w:p w14:paraId="13095C94" w14:textId="77777777" w:rsidR="006F3D6E" w:rsidRDefault="006F3D6E" w:rsidP="00081F8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8DEC7F0" w14:textId="77777777" w:rsidR="00D60832" w:rsidRDefault="006F3D6E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other words, Livingstone indicates that his characterizations may be based more on hearsay than the direct observation requisite for </w:t>
      </w:r>
      <w:r w:rsidR="0017151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professional practice of </w:t>
      </w:r>
      <w:r w:rsidR="0017151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Victorian-era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exploration.</w:t>
      </w:r>
    </w:p>
    <w:p w14:paraId="731270CF" w14:textId="77777777" w:rsidR="00D60832" w:rsidRDefault="00D60832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7B7EB6A" w14:textId="257EA106" w:rsidR="00081F83" w:rsidRDefault="006F3D6E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>Such references</w:t>
      </w:r>
      <w:r w:rsidR="00FB17B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thus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undercut the</w:t>
      </w:r>
      <w:r w:rsidR="00D60832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apparently more definitive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assertions made elsewhere and, collectively, introduce an irreducible strand of ambiguity into the narrative of the 1870 Field Diary.</w:t>
      </w:r>
    </w:p>
    <w:p w14:paraId="56ABD81E" w14:textId="77777777" w:rsidR="00CC001A" w:rsidRDefault="00CC001A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05D923D" w14:textId="5F7486DC" w:rsidR="00162495" w:rsidRDefault="00162495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Ultimately, it</w:t>
      </w:r>
      <w:r w:rsidR="0025536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is an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ambiguity that Livingstone himself foregrounds. </w:t>
      </w:r>
    </w:p>
    <w:p w14:paraId="73082DD9" w14:textId="77777777" w:rsidR="00162495" w:rsidRDefault="00162495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5F42558" w14:textId="77777777" w:rsidR="00D60832" w:rsidRDefault="00D60832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31D6377" w14:textId="3D53F596" w:rsidR="001A43A0" w:rsidRDefault="00162495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When discussing the population of Bambarre just </w:t>
      </w:r>
      <w:r w:rsidR="0025536D">
        <w:rPr>
          <w:rFonts w:asciiTheme="majorHAnsi" w:hAnsiTheme="majorHAnsi"/>
          <w:color w:val="FABF8F" w:themeColor="accent6" w:themeTint="99"/>
          <w:sz w:val="32"/>
          <w:szCs w:val="32"/>
        </w:rPr>
        <w:t>prior to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his departure – i.e., at the moment where his information would be expected to be most accurate due to his long sojourn in village – he on one page states that “their </w:t>
      </w:r>
      <w:r w:rsidRPr="00162495">
        <w:rPr>
          <w:rFonts w:asciiTheme="majorHAnsi" w:hAnsiTheme="majorHAnsi"/>
          <w:color w:val="FABF8F" w:themeColor="accent6" w:themeTint="99"/>
          <w:sz w:val="32"/>
          <w:szCs w:val="32"/>
        </w:rPr>
        <w:t>cannibalism is doubtful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only to reverse himself four pages later by indicating that he locals are “</w:t>
      </w:r>
      <w:r w:rsidRPr="00162495">
        <w:rPr>
          <w:rFonts w:asciiTheme="majorHAnsi" w:hAnsiTheme="majorHAnsi"/>
          <w:color w:val="FABF8F" w:themeColor="accent6" w:themeTint="99"/>
          <w:sz w:val="32"/>
          <w:szCs w:val="32"/>
        </w:rPr>
        <w:t>undoubtedly cannibals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(1871b:LXXXIII, LXXXVII).</w:t>
      </w:r>
    </w:p>
    <w:p w14:paraId="590159C0" w14:textId="77777777" w:rsidR="0025536D" w:rsidRDefault="0025536D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249635C" w14:textId="388A54A0" w:rsidR="00D60832" w:rsidRDefault="00D60832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the 1870 Field Diary, Livingstone never resolves such contradictions.</w:t>
      </w:r>
    </w:p>
    <w:p w14:paraId="32ADD95C" w14:textId="77777777" w:rsidR="00D60832" w:rsidRDefault="00D60832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3DD07EC" w14:textId="7D5ED0F6" w:rsidR="0025536D" w:rsidRPr="006F3D6E" w:rsidRDefault="00D60832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Rather, </w:t>
      </w:r>
      <w:r w:rsidR="0025536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he leaves the people of Bambarre and heads for Nyangwe, where </w:t>
      </w:r>
      <w:r w:rsidR="00D05DC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he turns his remaining iron gall ink and one of the last sets of writing paper available to him – a copy of </w:t>
      </w:r>
      <w:r w:rsidR="00D05DC8">
        <w:rPr>
          <w:rFonts w:asciiTheme="majorHAnsi" w:hAnsiTheme="majorHAnsi"/>
          <w:i/>
          <w:color w:val="FABF8F" w:themeColor="accent6" w:themeTint="99"/>
          <w:sz w:val="32"/>
          <w:szCs w:val="32"/>
        </w:rPr>
        <w:t>The Standard</w:t>
      </w:r>
      <w:r w:rsidR="00D05DC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– to compose the 1871 Field Diary (1871f).</w:t>
      </w:r>
      <w:bookmarkStart w:id="0" w:name="_GoBack"/>
      <w:bookmarkEnd w:id="0"/>
    </w:p>
    <w:sectPr w:rsidR="0025536D" w:rsidRPr="006F3D6E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4AC4"/>
    <w:rsid w:val="00017FAB"/>
    <w:rsid w:val="00022FDA"/>
    <w:rsid w:val="000333E4"/>
    <w:rsid w:val="000419AC"/>
    <w:rsid w:val="0005366C"/>
    <w:rsid w:val="00053BE4"/>
    <w:rsid w:val="00065940"/>
    <w:rsid w:val="00073472"/>
    <w:rsid w:val="00076062"/>
    <w:rsid w:val="00081F83"/>
    <w:rsid w:val="00093F8A"/>
    <w:rsid w:val="000A46C0"/>
    <w:rsid w:val="000A742D"/>
    <w:rsid w:val="000B1C88"/>
    <w:rsid w:val="000B566C"/>
    <w:rsid w:val="000B5C22"/>
    <w:rsid w:val="000C2EEE"/>
    <w:rsid w:val="000C3735"/>
    <w:rsid w:val="000D1709"/>
    <w:rsid w:val="000D1F26"/>
    <w:rsid w:val="000D7D6D"/>
    <w:rsid w:val="000E5B45"/>
    <w:rsid w:val="000E7530"/>
    <w:rsid w:val="000F53A8"/>
    <w:rsid w:val="000F5517"/>
    <w:rsid w:val="00103A4F"/>
    <w:rsid w:val="001117E5"/>
    <w:rsid w:val="00112805"/>
    <w:rsid w:val="00116D2F"/>
    <w:rsid w:val="001345E7"/>
    <w:rsid w:val="00162495"/>
    <w:rsid w:val="00171518"/>
    <w:rsid w:val="00172141"/>
    <w:rsid w:val="001731FB"/>
    <w:rsid w:val="00180FEA"/>
    <w:rsid w:val="001A43A0"/>
    <w:rsid w:val="001C4FE3"/>
    <w:rsid w:val="001E5193"/>
    <w:rsid w:val="001F1F65"/>
    <w:rsid w:val="001F65FB"/>
    <w:rsid w:val="001F78ED"/>
    <w:rsid w:val="002045AF"/>
    <w:rsid w:val="00206A44"/>
    <w:rsid w:val="00244E2E"/>
    <w:rsid w:val="00251FBC"/>
    <w:rsid w:val="0025536D"/>
    <w:rsid w:val="00292B11"/>
    <w:rsid w:val="002A19DF"/>
    <w:rsid w:val="002A356A"/>
    <w:rsid w:val="002B0D7A"/>
    <w:rsid w:val="002C17CD"/>
    <w:rsid w:val="002C6836"/>
    <w:rsid w:val="002F0845"/>
    <w:rsid w:val="002F23CC"/>
    <w:rsid w:val="002F51CD"/>
    <w:rsid w:val="00321AED"/>
    <w:rsid w:val="003375DA"/>
    <w:rsid w:val="00342742"/>
    <w:rsid w:val="003443EC"/>
    <w:rsid w:val="0035578B"/>
    <w:rsid w:val="00364B4B"/>
    <w:rsid w:val="003726B6"/>
    <w:rsid w:val="00382465"/>
    <w:rsid w:val="00390127"/>
    <w:rsid w:val="00391C6E"/>
    <w:rsid w:val="003A422D"/>
    <w:rsid w:val="003B32B4"/>
    <w:rsid w:val="003B4390"/>
    <w:rsid w:val="003C1ED9"/>
    <w:rsid w:val="003E647C"/>
    <w:rsid w:val="003F78D3"/>
    <w:rsid w:val="00405380"/>
    <w:rsid w:val="00412384"/>
    <w:rsid w:val="004148AD"/>
    <w:rsid w:val="004166A5"/>
    <w:rsid w:val="004201B0"/>
    <w:rsid w:val="00435155"/>
    <w:rsid w:val="004402B9"/>
    <w:rsid w:val="0045629E"/>
    <w:rsid w:val="00457F13"/>
    <w:rsid w:val="00457FC2"/>
    <w:rsid w:val="004775B8"/>
    <w:rsid w:val="0048466B"/>
    <w:rsid w:val="004941DB"/>
    <w:rsid w:val="004A010C"/>
    <w:rsid w:val="004A12D6"/>
    <w:rsid w:val="004A59B4"/>
    <w:rsid w:val="004B4ACB"/>
    <w:rsid w:val="004B5A42"/>
    <w:rsid w:val="004C4CCD"/>
    <w:rsid w:val="004D74E3"/>
    <w:rsid w:val="004E469E"/>
    <w:rsid w:val="004F3BF8"/>
    <w:rsid w:val="005014E1"/>
    <w:rsid w:val="0051029A"/>
    <w:rsid w:val="005124CF"/>
    <w:rsid w:val="00513E93"/>
    <w:rsid w:val="00517FE3"/>
    <w:rsid w:val="00526551"/>
    <w:rsid w:val="00527EC5"/>
    <w:rsid w:val="00546DF9"/>
    <w:rsid w:val="00554AE0"/>
    <w:rsid w:val="005553E4"/>
    <w:rsid w:val="00563110"/>
    <w:rsid w:val="00564B52"/>
    <w:rsid w:val="00566858"/>
    <w:rsid w:val="00591D9E"/>
    <w:rsid w:val="005928A3"/>
    <w:rsid w:val="005C7845"/>
    <w:rsid w:val="005D5DFB"/>
    <w:rsid w:val="005F7EE4"/>
    <w:rsid w:val="00602150"/>
    <w:rsid w:val="00611247"/>
    <w:rsid w:val="0061457E"/>
    <w:rsid w:val="00644CCA"/>
    <w:rsid w:val="00650BE1"/>
    <w:rsid w:val="00657292"/>
    <w:rsid w:val="00661006"/>
    <w:rsid w:val="00667A8D"/>
    <w:rsid w:val="00674D34"/>
    <w:rsid w:val="006759FD"/>
    <w:rsid w:val="00677363"/>
    <w:rsid w:val="00687FE8"/>
    <w:rsid w:val="006A1691"/>
    <w:rsid w:val="006A7CE7"/>
    <w:rsid w:val="006D7496"/>
    <w:rsid w:val="006E1A67"/>
    <w:rsid w:val="006F3D6E"/>
    <w:rsid w:val="00700000"/>
    <w:rsid w:val="00711248"/>
    <w:rsid w:val="00716876"/>
    <w:rsid w:val="00723CB0"/>
    <w:rsid w:val="0073387E"/>
    <w:rsid w:val="00735A68"/>
    <w:rsid w:val="0073798F"/>
    <w:rsid w:val="0074798F"/>
    <w:rsid w:val="007523C9"/>
    <w:rsid w:val="00755F1E"/>
    <w:rsid w:val="00762CC3"/>
    <w:rsid w:val="0076789B"/>
    <w:rsid w:val="00780CEE"/>
    <w:rsid w:val="007844B7"/>
    <w:rsid w:val="00791F66"/>
    <w:rsid w:val="007923EE"/>
    <w:rsid w:val="007A0887"/>
    <w:rsid w:val="007B4D13"/>
    <w:rsid w:val="007B5B06"/>
    <w:rsid w:val="007C68D7"/>
    <w:rsid w:val="007D6110"/>
    <w:rsid w:val="007F0382"/>
    <w:rsid w:val="007F2270"/>
    <w:rsid w:val="007F5B6D"/>
    <w:rsid w:val="007F7CDD"/>
    <w:rsid w:val="00803584"/>
    <w:rsid w:val="00833DE9"/>
    <w:rsid w:val="00845EC6"/>
    <w:rsid w:val="00850941"/>
    <w:rsid w:val="008524FA"/>
    <w:rsid w:val="0086433D"/>
    <w:rsid w:val="008A652D"/>
    <w:rsid w:val="008B228B"/>
    <w:rsid w:val="008C77B3"/>
    <w:rsid w:val="008E0837"/>
    <w:rsid w:val="008F3F23"/>
    <w:rsid w:val="00907FC5"/>
    <w:rsid w:val="00912BB2"/>
    <w:rsid w:val="00915005"/>
    <w:rsid w:val="00915AB3"/>
    <w:rsid w:val="00917042"/>
    <w:rsid w:val="0092157B"/>
    <w:rsid w:val="00943011"/>
    <w:rsid w:val="00951378"/>
    <w:rsid w:val="009517A5"/>
    <w:rsid w:val="0096265C"/>
    <w:rsid w:val="00962A70"/>
    <w:rsid w:val="00963C9A"/>
    <w:rsid w:val="00967E6A"/>
    <w:rsid w:val="00995E20"/>
    <w:rsid w:val="009A6DC2"/>
    <w:rsid w:val="009A7174"/>
    <w:rsid w:val="009B1873"/>
    <w:rsid w:val="009B3AE5"/>
    <w:rsid w:val="009E0DE1"/>
    <w:rsid w:val="009F6341"/>
    <w:rsid w:val="00A0227D"/>
    <w:rsid w:val="00A1184B"/>
    <w:rsid w:val="00A11D7F"/>
    <w:rsid w:val="00A17874"/>
    <w:rsid w:val="00A5751D"/>
    <w:rsid w:val="00A6046F"/>
    <w:rsid w:val="00A825BC"/>
    <w:rsid w:val="00A86D8F"/>
    <w:rsid w:val="00AA528A"/>
    <w:rsid w:val="00AD6A56"/>
    <w:rsid w:val="00AD7998"/>
    <w:rsid w:val="00AF164B"/>
    <w:rsid w:val="00AF19FB"/>
    <w:rsid w:val="00AF4DAA"/>
    <w:rsid w:val="00AF4DE7"/>
    <w:rsid w:val="00B00C8D"/>
    <w:rsid w:val="00B02466"/>
    <w:rsid w:val="00B135DC"/>
    <w:rsid w:val="00B17AE8"/>
    <w:rsid w:val="00B358BB"/>
    <w:rsid w:val="00B35C2A"/>
    <w:rsid w:val="00B47FF0"/>
    <w:rsid w:val="00B52390"/>
    <w:rsid w:val="00B73F64"/>
    <w:rsid w:val="00B801C6"/>
    <w:rsid w:val="00B849E7"/>
    <w:rsid w:val="00B90C24"/>
    <w:rsid w:val="00B94B47"/>
    <w:rsid w:val="00BB61A4"/>
    <w:rsid w:val="00BC718A"/>
    <w:rsid w:val="00BE231B"/>
    <w:rsid w:val="00BE493F"/>
    <w:rsid w:val="00BF1DE5"/>
    <w:rsid w:val="00C00A2B"/>
    <w:rsid w:val="00C00F29"/>
    <w:rsid w:val="00C16C96"/>
    <w:rsid w:val="00C21A89"/>
    <w:rsid w:val="00C271E7"/>
    <w:rsid w:val="00C329C7"/>
    <w:rsid w:val="00C32FF1"/>
    <w:rsid w:val="00C33822"/>
    <w:rsid w:val="00C347C2"/>
    <w:rsid w:val="00C5669F"/>
    <w:rsid w:val="00C7666F"/>
    <w:rsid w:val="00C77129"/>
    <w:rsid w:val="00C86629"/>
    <w:rsid w:val="00CB1752"/>
    <w:rsid w:val="00CC001A"/>
    <w:rsid w:val="00CC16D1"/>
    <w:rsid w:val="00CC534D"/>
    <w:rsid w:val="00CC53F2"/>
    <w:rsid w:val="00CD1778"/>
    <w:rsid w:val="00CD278F"/>
    <w:rsid w:val="00CD36DA"/>
    <w:rsid w:val="00CE2D11"/>
    <w:rsid w:val="00D05DC8"/>
    <w:rsid w:val="00D52CD9"/>
    <w:rsid w:val="00D60280"/>
    <w:rsid w:val="00D60832"/>
    <w:rsid w:val="00D65BFA"/>
    <w:rsid w:val="00D733E2"/>
    <w:rsid w:val="00D9673E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B22AA"/>
    <w:rsid w:val="00ED60D1"/>
    <w:rsid w:val="00EE2565"/>
    <w:rsid w:val="00F009C8"/>
    <w:rsid w:val="00F1442D"/>
    <w:rsid w:val="00F46D88"/>
    <w:rsid w:val="00F52311"/>
    <w:rsid w:val="00F53248"/>
    <w:rsid w:val="00F73462"/>
    <w:rsid w:val="00F73566"/>
    <w:rsid w:val="00F80779"/>
    <w:rsid w:val="00FB17B5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  <w:style w:type="paragraph" w:styleId="ListParagraph">
    <w:name w:val="List Paragraph"/>
    <w:basedOn w:val="Normal"/>
    <w:uiPriority w:val="34"/>
    <w:qFormat/>
    <w:rsid w:val="00995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  <w:style w:type="paragraph" w:styleId="ListParagraph">
    <w:name w:val="List Paragraph"/>
    <w:basedOn w:val="Normal"/>
    <w:uiPriority w:val="34"/>
    <w:qFormat/>
    <w:rsid w:val="0099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334</Words>
  <Characters>1907</Characters>
  <Application>Microsoft Macintosh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2017-01-12T15:26:00Z</dcterms:created>
  <dcterms:modified xsi:type="dcterms:W3CDTF">2017-01-24T16:23:00Z</dcterms:modified>
</cp:coreProperties>
</file>