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432C5867">
                  <wp:extent cx="608744" cy="608744"/>
                  <wp:effectExtent l="0" t="0" r="5715"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1C8B77CA" w14:textId="1889D210"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0A1A4991"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first words and formal names, but otherwise do not </w:t>
      </w:r>
      <w:r w:rsidR="002C44EC" w:rsidRPr="008E320E">
        <w:rPr>
          <w:rFonts w:ascii="Times New Roman" w:hAnsi="Times New Roman" w:cs="Times New Roman"/>
        </w:rPr>
        <w:t>capitalize</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identities on a contested frontier.”</w:t>
      </w:r>
    </w:p>
    <w:p w14:paraId="14E91330" w14:textId="4535B529"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 paragraph length.</w:t>
      </w:r>
    </w:p>
    <w:p w14:paraId="3E170864" w14:textId="6EE065A0"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8E320E">
      <w:pPr>
        <w:spacing w:before="120" w:after="240"/>
        <w:rPr>
          <w:rFonts w:ascii="Times New Roman" w:hAnsi="Times New Roman" w:cs="Times New Roman"/>
        </w:rPr>
      </w:pPr>
    </w:p>
    <w:p w14:paraId="5432BBCD" w14:textId="4553C58F"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8E320E">
      <w:pPr>
        <w:spacing w:before="120" w:after="24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lastRenderedPageBreak/>
        <w:t>Style of words and numbers</w:t>
      </w:r>
    </w:p>
    <w:p w14:paraId="3FAE9D0D" w14:textId="283941A9"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8E320E">
      <w:pPr>
        <w:spacing w:before="120" w:after="24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8E320E">
      <w:pPr>
        <w:spacing w:before="120" w:after="240"/>
        <w:rPr>
          <w:rFonts w:ascii="Times New Roman" w:hAnsi="Times New Roman" w:cs="Times New Roman"/>
        </w:rPr>
      </w:pPr>
    </w:p>
    <w:p w14:paraId="24069803" w14:textId="209149AD"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502CB0C9"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A047A5">
        <w:rPr>
          <w:rFonts w:ascii="Times New Roman" w:hAnsi="Times New Roman" w:cs="Times New Roman"/>
        </w:rPr>
        <w:t xml:space="preserve"> (e.g., </w:t>
      </w:r>
      <w:r w:rsidRPr="008E320E">
        <w:rPr>
          <w:rFonts w:ascii="Times New Roman" w:hAnsi="Times New Roman" w:cs="Times New Roman"/>
        </w:rPr>
        <w:t>of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418C9AB7" w:rsidR="008E320E" w:rsidRDefault="008E320E" w:rsidP="008E320E">
      <w:pPr>
        <w:spacing w:before="120" w:after="24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8E320E">
      <w:pPr>
        <w:spacing w:before="120" w:after="240"/>
        <w:rPr>
          <w:rFonts w:ascii="Times New Roman" w:hAnsi="Times New Roman" w:cs="Times New Roman"/>
        </w:rPr>
      </w:pPr>
    </w:p>
    <w:p w14:paraId="4EB724A3" w14:textId="3705D63A" w:rsidR="008E320E" w:rsidRPr="000B22A4" w:rsidRDefault="008E320E" w:rsidP="008E320E">
      <w:pPr>
        <w:spacing w:before="120" w:after="24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8E320E">
      <w:pPr>
        <w:spacing w:before="120" w:after="24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3E7EE7">
      <w:pPr>
        <w:spacing w:before="120" w:after="24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default" r:id="rId8"/>
      <w:footerReference w:type="even" r:id="rId9"/>
      <w:footerReference w:type="default" r:id="rId10"/>
      <w:headerReference w:type="first" r:id="rId11"/>
      <w:footerReference w:type="first" r:id="rId12"/>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7EB53" w14:textId="77777777" w:rsidR="005304EC" w:rsidRDefault="005304EC" w:rsidP="001D1B7E">
      <w:r>
        <w:separator/>
      </w:r>
    </w:p>
  </w:endnote>
  <w:endnote w:type="continuationSeparator" w:id="0">
    <w:p w14:paraId="53A220D6" w14:textId="77777777" w:rsidR="005304EC" w:rsidRDefault="005304EC"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20096" w14:textId="77777777" w:rsidR="005304EC" w:rsidRDefault="005304EC" w:rsidP="001D1B7E">
      <w:r>
        <w:separator/>
      </w:r>
    </w:p>
  </w:footnote>
  <w:footnote w:type="continuationSeparator" w:id="0">
    <w:p w14:paraId="5C18815E" w14:textId="77777777" w:rsidR="005304EC" w:rsidRDefault="005304EC"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77777777" w:rsidR="000B22A4" w:rsidRDefault="000B22A4" w:rsidP="000B22A4">
    <w:pPr>
      <w:pStyle w:val="Footer"/>
      <w:spacing w:line="360" w:lineRule="auto"/>
      <w:jc w:val="right"/>
      <w:rPr>
        <w:sz w:val="22"/>
        <w:szCs w:val="22"/>
      </w:rPr>
    </w:pPr>
    <w:r w:rsidRPr="00DB6A8D">
      <w:rPr>
        <w:sz w:val="22"/>
        <w:szCs w:val="22"/>
      </w:rPr>
      <w:t xml:space="preserve">Version: </w:t>
    </w:r>
    <w:r>
      <w:rPr>
        <w:sz w:val="22"/>
        <w:szCs w:val="22"/>
      </w:rPr>
      <w:t>February 2021</w:t>
    </w:r>
  </w:p>
  <w:p w14:paraId="41C5F990" w14:textId="77777777" w:rsidR="000B22A4" w:rsidRDefault="000B22A4" w:rsidP="000B22A4">
    <w:pPr>
      <w:pStyle w:val="Footer"/>
      <w:jc w:val="right"/>
      <w:rPr>
        <w:sz w:val="22"/>
        <w:szCs w:val="22"/>
      </w:rPr>
    </w:pPr>
    <w:hyperlink r:id="rId1" w:history="1">
      <w:r w:rsidRPr="00AC33AC">
        <w:rPr>
          <w:rStyle w:val="Hyperlink"/>
          <w:sz w:val="22"/>
          <w:szCs w:val="22"/>
        </w:rPr>
        <w:t>https://onemorevoice.org/</w:t>
      </w:r>
    </w:hyperlink>
    <w:r>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D1B7E"/>
    <w:rsid w:val="0023194B"/>
    <w:rsid w:val="002C44EC"/>
    <w:rsid w:val="00326E18"/>
    <w:rsid w:val="003850A5"/>
    <w:rsid w:val="003E741D"/>
    <w:rsid w:val="003E7EE7"/>
    <w:rsid w:val="00416B98"/>
    <w:rsid w:val="00425B0B"/>
    <w:rsid w:val="0045332D"/>
    <w:rsid w:val="00480BA4"/>
    <w:rsid w:val="004C2AE0"/>
    <w:rsid w:val="004E4609"/>
    <w:rsid w:val="0050549D"/>
    <w:rsid w:val="005171C0"/>
    <w:rsid w:val="005304EC"/>
    <w:rsid w:val="005F16CB"/>
    <w:rsid w:val="006069BD"/>
    <w:rsid w:val="006F6C89"/>
    <w:rsid w:val="00787E57"/>
    <w:rsid w:val="007958C7"/>
    <w:rsid w:val="007B4396"/>
    <w:rsid w:val="0082783B"/>
    <w:rsid w:val="00831734"/>
    <w:rsid w:val="008C397C"/>
    <w:rsid w:val="008E320E"/>
    <w:rsid w:val="0091782F"/>
    <w:rsid w:val="00955466"/>
    <w:rsid w:val="009829A9"/>
    <w:rsid w:val="009F30A1"/>
    <w:rsid w:val="00A047A5"/>
    <w:rsid w:val="00A3654B"/>
    <w:rsid w:val="00A6722F"/>
    <w:rsid w:val="00A81D5A"/>
    <w:rsid w:val="00AB35C2"/>
    <w:rsid w:val="00AB3C7C"/>
    <w:rsid w:val="00AD15F6"/>
    <w:rsid w:val="00B30378"/>
    <w:rsid w:val="00B703C1"/>
    <w:rsid w:val="00B81E31"/>
    <w:rsid w:val="00BA061C"/>
    <w:rsid w:val="00BE2917"/>
    <w:rsid w:val="00C40035"/>
    <w:rsid w:val="00D06341"/>
    <w:rsid w:val="00D33810"/>
    <w:rsid w:val="00D457DA"/>
    <w:rsid w:val="00D834BB"/>
    <w:rsid w:val="00D85441"/>
    <w:rsid w:val="00D85824"/>
    <w:rsid w:val="00D873AD"/>
    <w:rsid w:val="00D91B28"/>
    <w:rsid w:val="00DB6A8D"/>
    <w:rsid w:val="00DC6A42"/>
    <w:rsid w:val="00E65A9B"/>
    <w:rsid w:val="00E67F17"/>
    <w:rsid w:val="00EA2AF9"/>
    <w:rsid w:val="00EA5C09"/>
    <w:rsid w:val="00F0190A"/>
    <w:rsid w:val="00F11F9A"/>
    <w:rsid w:val="00F227B2"/>
    <w:rsid w:val="00F30D15"/>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Wisnicki</dc:creator>
  <cp:keywords/>
  <dc:description/>
  <cp:lastModifiedBy>Adrian Wisnicki</cp:lastModifiedBy>
  <cp:revision>10</cp:revision>
  <dcterms:created xsi:type="dcterms:W3CDTF">2021-02-05T00:21:00Z</dcterms:created>
  <dcterms:modified xsi:type="dcterms:W3CDTF">2021-02-06T16:56:00Z</dcterms:modified>
</cp:coreProperties>
</file>