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«Riding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2A7DF723" w:rsidR="002879EF" w:rsidRPr="0001704E" w:rsidRDefault="002E46A9" w:rsidP="00233F6B">
      <w:r>
        <w:t>Oberwil-Lieli, 17.05.2026</w:t>
      </w:r>
    </w:p>
    <w:p w14:paraId="3D800015" w14:textId="77777777" w:rsidR="007E708E" w:rsidRPr="0001704E" w:rsidRDefault="007E708E" w:rsidP="00233F6B">
      <w:pPr>
        <w:sectPr w:rsidR="007E708E" w:rsidRPr="0001704E" w:rsidSect="005E75FF">
          <w:headerReference w:type="first" r:id="rId14"/>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3" w:name="_Toc229904453"/>
      <w:bookmarkEnd w:id="0"/>
      <w:bookmarkEnd w:id="1"/>
      <w:bookmarkEnd w:id="2"/>
      <w:r>
        <w:lastRenderedPageBreak/>
        <w:t xml:space="preserve">Vorwort </w:t>
      </w:r>
      <w:commentRangeStart w:id="4"/>
      <w:commentRangeEnd w:id="4"/>
      <w:r>
        <w:rPr>
          <w:rStyle w:val="CommentReference"/>
          <w:sz w:val="28"/>
          <w:szCs w:val="20"/>
        </w:rPr>
        <w:commentReference w:id="4"/>
      </w:r>
      <w:bookmarkEnd w:id="3"/>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8"/>
          <w:footerReference w:type="default" r:id="rId19"/>
          <w:headerReference w:type="first" r:id="rId20"/>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5" w:name="_Toc229904454"/>
      <w:r>
        <w:lastRenderedPageBreak/>
        <w:t>Management Summary</w:t>
      </w:r>
      <w:bookmarkEnd w:id="5"/>
    </w:p>
    <w:p w14:paraId="622B6BEF" w14:textId="77777777" w:rsidR="009D27D6" w:rsidRDefault="009D27D6" w:rsidP="009D27D6">
      <w:r>
        <w:t>Spekulative Blasen stellen Marktteilnehmende vor ein Entscheidungsproblem. Eine frühzeitige Korrektur vermeidet Verluste im späteren Crash, eine zeitweise Partizipation an irrationalen Kurssteigerungen kann zusätzliche Renditen sichern. Die vorliegende Bachelorarbeit entwickelt und evaluiert ein algorithmisches Regelwerk für den Schweizer Aktienmarkt (SMI/SLI), das spekulative Phasen ex ante identifiziert.</w:t>
      </w:r>
    </w:p>
    <w:p w14:paraId="7D694AFA" w14:textId="54DAF229" w:rsidR="00881EDE" w:rsidRDefault="009D27D6" w:rsidP="009B2F70">
      <w:r>
        <w:t>Die methodische Umsetzung kombiniert den ökonometrischen Phillips-Shi-Yu-Test (PSY) mit einer dynamischen Quantils-Logik. Erreicht die Teststatistik das 94 %-Warn-Quantil, reduziert das Regelwerk die Aktienquote auf 50 %. Überschreitet sie das 99 %-Panik-Quantil, erfolgt der vollständige Marktaustritt in Liquidität. Ein «Smart Re-Entry» auf Basis des 20-Tage-Durchschnitts (</w:t>
      </w:r>
      <w:r>
        <w:rPr>
          <w:rFonts w:ascii="Consolas" w:hAnsi="Consolas" w:cs="Consolas"/>
        </w:rPr>
        <w:t>SMA20</w:t>
      </w:r>
      <w:r>
        <w:t>) steuert die Wiederanlage in der Erholungsphase.</w:t>
      </w:r>
      <w:r>
        <w:rPr>
          <w:noProof/>
        </w:rPr>
        <w:drawing>
          <wp:inline distT="0" distB="0" distL="0" distR="0" wp14:anchorId="169756E0" wp14:editId="317786D9">
            <wp:extent cx="4143334" cy="4400550"/>
            <wp:effectExtent l="0" t="0" r="0" b="0"/>
            <wp:docPr id="361619792" name="Picture 8"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567CD438" w14:textId="2AE7D4B7" w:rsidR="002879EF" w:rsidRDefault="00881EDE" w:rsidP="000006B1">
      <w:pPr>
        <w:pStyle w:val="Caption"/>
      </w:pPr>
      <w:bookmarkStart w:id="6" w:name="_Toc229904556"/>
      <w:r>
        <w:t xml:space="preserve">Abbildung </w:t>
      </w:r>
      <w:r>
        <w:fldChar w:fldCharType="begin"/>
      </w:r>
      <w:r>
        <w:instrText xml:space="preserve"> SEQ Abbildung \* ARABIC </w:instrText>
      </w:r>
      <w:r>
        <w:fldChar w:fldCharType="separate"/>
      </w:r>
      <w:r>
        <w:rPr>
          <w:noProof/>
        </w:rPr>
        <w:t>1</w:t>
      </w:r>
      <w:r>
        <w:fldChar w:fldCharType="end"/>
      </w:r>
      <w:r>
        <w:t>: Extremereignis Monte-Carlo Simulation</w:t>
      </w:r>
      <w:bookmarkEnd w:id="6"/>
    </w:p>
    <w:p w14:paraId="55D39229" w14:textId="77777777" w:rsidR="009D27D6" w:rsidRDefault="009D27D6" w:rsidP="009D27D6">
      <w:r>
        <w:t xml:space="preserve">Abbildung 1 illustriert die Funktionsweise an einem synthetischen Extremereignis (Szenario C). Das Panel «Signalgenerierung» zeigt die Reaktion der PSY-Teststatistik auf explosive Preisdynamiken und das Überschreiten der Schwellenwerte. Die Allokationslogik reduziert </w:t>
      </w:r>
      <w:r>
        <w:lastRenderedPageBreak/>
        <w:t xml:space="preserve">daraufhin das Marktexposure und sichert Buchgewinne vor der Korrekturphase. Nach dem Ende der Kurskorrektur veranlasst der </w:t>
      </w:r>
      <w:r>
        <w:rPr>
          <w:rFonts w:ascii="Consolas" w:hAnsi="Consolas" w:cs="Consolas"/>
        </w:rPr>
        <w:t>SMA20</w:t>
      </w:r>
      <w:r>
        <w:t>-Filter eine zeitnahe Re-Partizipation.</w:t>
      </w:r>
    </w:p>
    <w:p w14:paraId="309B1CBE" w14:textId="5204DCF0" w:rsidR="009D27D6" w:rsidRDefault="009D27D6" w:rsidP="009D27D6">
      <w:r>
        <w:t xml:space="preserve">Die Validierung umfasst rund 20 Jahre und schliesst synthetische Märkte gemäss Evans-Modell ein. Die V7-Konfiguration verwendet </w:t>
      </w:r>
      <w:r>
        <w:rPr>
          <w:rFonts w:ascii="Consolas" w:hAnsi="Consolas" w:cs="Consolas"/>
        </w:rPr>
        <w:t>MIN_WINDOW</w:t>
      </w:r>
      <w:r>
        <w:t xml:space="preserve"> = 178 Handelstage entsprechend der PSY-Empfehlung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t xml:space="preserve"> ≈ 0.01 + 1.8/√</w:t>
      </w:r>
      <m:oMath>
        <m:r>
          <w:rPr>
            <w:rFonts w:ascii="Cambria Math" w:hAnsi="Cambria Math"/>
          </w:rPr>
          <m:t>T</m:t>
        </m:r>
      </m:oMath>
      <w:r>
        <w:t xml:space="preserve"> bei </w:t>
      </w:r>
      <m:oMath>
        <m:r>
          <w:rPr>
            <w:rFonts w:ascii="Cambria Math" w:hAnsi="Cambria Math"/>
          </w:rPr>
          <m:t>T</m:t>
        </m:r>
      </m:oMath>
      <w:r>
        <w:t xml:space="preserve"> ≈ 5'000. Die Trade-Entscheidung an Tag </w:t>
      </w:r>
      <m:oMath>
        <m:r>
          <w:rPr>
            <w:rFonts w:ascii="Cambria Math" w:hAnsi="Cambria Math"/>
          </w:rPr>
          <m:t>t</m:t>
        </m:r>
      </m:oMath>
      <w:r>
        <w:t xml:space="preserve"> basiert auf </w:t>
      </w:r>
      <w:r>
        <w:rPr>
          <w:rFonts w:ascii="Consolas" w:hAnsi="Consolas" w:cs="Consolas"/>
        </w:rPr>
        <w:t>score[t−2]</w:t>
      </w:r>
      <w:r>
        <w:t xml:space="preserve">. Die kritischen Schwellen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und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stammen aus 5'000 Wild-Bootstrap-Pfaden mit Rademacher-Schock (</w:t>
      </w:r>
      <m:oMath>
        <m:r>
          <w:rPr>
            <w:rFonts w:ascii="Cambria Math" w:hAnsi="Cambria Math"/>
          </w:rPr>
          <m:t>T</m:t>
        </m:r>
      </m:oMath>
      <w:r>
        <w:t xml:space="preserve"> ≈ 5'273) und sind ex post fix. Ein 60-Tages-Trend dient als Direktionalfilter für den Panik-Trigger. Die Panik-Slippage wird volatilitätsabhängig modelliert nach </w:t>
      </w:r>
      <m:oMath>
        <m:sSub>
          <m:sSubPr>
            <m:ctrlPr>
              <w:rPr>
                <w:rFonts w:ascii="Cambria Math" w:hAnsi="Cambria Math"/>
              </w:rPr>
            </m:ctrlPr>
          </m:sSubPr>
          <m:e>
            <m:r>
              <w:rPr>
                <w:rFonts w:ascii="Cambria Math" w:hAnsi="Cambria Math"/>
              </w:rPr>
              <m:t>σ</m:t>
            </m:r>
          </m:e>
          <m:sub>
            <m:r>
              <m:rPr>
                <m:sty m:val="p"/>
              </m:rPr>
              <w:rPr>
                <w:rFonts w:ascii="Cambria Math" w:hAnsi="Cambria Math"/>
              </w:rPr>
              <m:t>slip</m:t>
            </m:r>
          </m:sub>
        </m:sSub>
        <m:r>
          <w:rPr>
            <w:rFonts w:ascii="Cambria Math" w:hAnsi="Cambria Math"/>
          </w:rPr>
          <m:t>=clip(0.005+2σ, 0.025, 0.20)</m:t>
        </m:r>
      </m:oMath>
      <w:r>
        <w:t xml:space="preserve"> im Sinne von Almgren und Chriss (2000). Die Inferenz erfolgt über einen Stationary-Bootstrap mit Strategie-Re-Simulation nach Politis und Romano (1994) mit </w:t>
      </w:r>
      <m:oMath>
        <m:r>
          <w:rPr>
            <w:rFonts w:ascii="Cambria Math" w:hAnsi="Cambria Math"/>
          </w:rPr>
          <m:t>B</m:t>
        </m:r>
      </m:oMath>
      <w:r>
        <w:t xml:space="preserve"> = 100 Pfaden und mittlerer Blocklänge von 21 Handelstagen.</w:t>
      </w:r>
    </w:p>
    <w:p w14:paraId="49AA6370" w14:textId="73CA7842" w:rsidR="009D27D6" w:rsidRDefault="009D27D6" w:rsidP="009D27D6">
      <w:r>
        <w:t xml:space="preserve">Bei keinem der fünf untersuchten Titel (Logitech, Sika, Richemont, Lonza, Partners Group) übertrifft die V7-Strategie die passive Buy &amp; Hold-Benchmark in der absoluten Nettorendite. Sämtliche Total-Return-Differenzen sind auf dem 5 %-Niveau nicht von null verschieden. Beim Maximum Drawdown zeigt sich ein heterogenes Muster. V7 reduziert den Drawdown statistisch signifikant bei der Partners Group (+8.33 pp, </w:t>
      </w:r>
      <m:oMath>
        <m:r>
          <w:rPr>
            <w:rFonts w:ascii="Cambria Math" w:hAnsi="Cambria Math"/>
          </w:rPr>
          <m:t>p</m:t>
        </m:r>
      </m:oMath>
      <w:r>
        <w:t xml:space="preserve"> = 0.040) und deskriptiv bei Logitech (+3.27 pp, </w:t>
      </w:r>
      <m:oMath>
        <m:r>
          <w:rPr>
            <w:rFonts w:ascii="Cambria Math" w:hAnsi="Cambria Math"/>
          </w:rPr>
          <m:t>p</m:t>
        </m:r>
      </m:oMath>
      <w:r>
        <w:t xml:space="preserve"> = 0.190). Bei Richemont bleibt der Drawdown praktisch indifferent (+0.39 pp, </w:t>
      </w:r>
      <m:oMath>
        <m:r>
          <w:rPr>
            <w:rFonts w:ascii="Cambria Math" w:hAnsi="Cambria Math"/>
          </w:rPr>
          <m:t>p</m:t>
        </m:r>
      </m:oMath>
      <w:r>
        <w:t xml:space="preserve"> = 0.680). Bei Sika (−1.87 pp, </w:t>
      </w:r>
      <m:oMath>
        <m:r>
          <w:rPr>
            <w:rFonts w:ascii="Cambria Math" w:hAnsi="Cambria Math"/>
          </w:rPr>
          <m:t>p</m:t>
        </m:r>
      </m:oMath>
      <w:r>
        <w:t xml:space="preserve"> = 0.300) und Lonza (−4.29 pp, </w:t>
      </w:r>
      <m:oMath>
        <m:r>
          <w:rPr>
            <w:rFonts w:ascii="Cambria Math" w:hAnsi="Cambria Math"/>
          </w:rPr>
          <m:t>p</m:t>
        </m:r>
      </m:oMath>
      <w:r>
        <w:t xml:space="preserve"> = 0.190) liegt V7 marginal schlechter. Die in der Vorgänger-V3-Konfiguration signifikanten Sharpe-Verschlechterungen bei Lonza (V3 </w:t>
      </w:r>
      <m:oMath>
        <m:r>
          <w:rPr>
            <w:rFonts w:ascii="Cambria Math" w:hAnsi="Cambria Math"/>
          </w:rPr>
          <m:t>p</m:t>
        </m:r>
      </m:oMath>
      <w:r>
        <w:t xml:space="preserve"> = 0.006) und Sika (V3 </w:t>
      </w:r>
      <m:oMath>
        <m:r>
          <w:rPr>
            <w:rFonts w:ascii="Cambria Math" w:hAnsi="Cambria Math"/>
          </w:rPr>
          <m:t>p</m:t>
        </m:r>
      </m:oMath>
      <w:r>
        <w:t xml:space="preserve"> = 0.038) sind in V7 nicht mehr signifikant (Lonza </w:t>
      </w:r>
      <m:oMath>
        <m:r>
          <w:rPr>
            <w:rFonts w:ascii="Cambria Math" w:hAnsi="Cambria Math"/>
          </w:rPr>
          <m:t>p</m:t>
        </m:r>
      </m:oMath>
      <w:r>
        <w:t xml:space="preserve"> = 0.070, Sika </w:t>
      </w:r>
      <m:oMath>
        <m:r>
          <w:rPr>
            <w:rFonts w:ascii="Cambria Math" w:hAnsi="Cambria Math"/>
          </w:rPr>
          <m:t>p</m:t>
        </m:r>
      </m:oMath>
      <w:r>
        <w:t xml:space="preserve"> = 0.220). Die Calmar Ratio liegt bei allen fünf Titeln unter dem Buy &amp; Hold-Niveau.</w:t>
      </w:r>
    </w:p>
    <w:p w14:paraId="28B5A54B" w14:textId="77777777" w:rsidR="009D27D6" w:rsidRDefault="009D27D6" w:rsidP="009D27D6">
      <w:r>
        <w:t>Eine systematische Tail-Risk-Versicherung im Sinne einer durchgängigen Drawdown-Reduktion lässt sich aus der vorliegenden Stichprobe damit nicht ableiten. Die Kombination aus statistischer Blasendetektion und asymmetrischem Risikomanagement bleibt konzeptionell schlüssig, mit der vorliegenden Stichprobe und Inferenz aber nicht validiert. Eine konfirmatorische Anwendung auf das vollständige SMI-Universum bleibt offene Forschungsaufgabe.</w:t>
      </w:r>
    </w:p>
    <w:p w14:paraId="44978E11" w14:textId="6970B21B" w:rsidR="009D27D6" w:rsidRPr="0001704E" w:rsidRDefault="009D27D6" w:rsidP="001C5B74">
      <w:pPr>
        <w:sectPr w:rsidR="009D27D6" w:rsidRPr="0001704E" w:rsidSect="005E75FF">
          <w:pgSz w:w="11906" w:h="16838" w:code="9"/>
          <w:pgMar w:top="1418" w:right="1274" w:bottom="1418" w:left="1418" w:header="720" w:footer="720" w:gutter="0"/>
          <w:pgNumType w:fmt="upperRoman"/>
          <w:cols w:space="720"/>
        </w:sectPr>
      </w:pPr>
    </w:p>
    <w:p w14:paraId="0531F054" w14:textId="77777777" w:rsidR="002879EF" w:rsidRPr="0001704E" w:rsidRDefault="002879EF" w:rsidP="00A36C21">
      <w:pPr>
        <w:pStyle w:val="Ueberschrift1ohneNummer"/>
      </w:pPr>
      <w:bookmarkStart w:id="7" w:name="_Toc515864077"/>
      <w:bookmarkStart w:id="8" w:name="_Toc536357975"/>
      <w:bookmarkStart w:id="9" w:name="_Toc229904455"/>
      <w:r>
        <w:lastRenderedPageBreak/>
        <w:t>Inhaltsverzeichnis</w:t>
      </w:r>
      <w:bookmarkEnd w:id="7"/>
      <w:bookmarkEnd w:id="8"/>
      <w:bookmarkEnd w:id="9"/>
    </w:p>
    <w:p w14:paraId="4739A98F" w14:textId="6E6DD82F" w:rsidR="00722482"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722482">
        <w:t xml:space="preserve">Vorwort </w:t>
      </w:r>
      <w:r w:rsidR="00722482">
        <w:tab/>
      </w:r>
      <w:r w:rsidR="00722482">
        <w:fldChar w:fldCharType="begin"/>
      </w:r>
      <w:r w:rsidR="00722482">
        <w:instrText xml:space="preserve"> PAGEREF _Toc229904453 \h </w:instrText>
      </w:r>
      <w:r w:rsidR="00722482">
        <w:fldChar w:fldCharType="separate"/>
      </w:r>
      <w:r w:rsidR="00722482">
        <w:t>I</w:t>
      </w:r>
      <w:r w:rsidR="00722482">
        <w:fldChar w:fldCharType="end"/>
      </w:r>
    </w:p>
    <w:p w14:paraId="0A2AA081" w14:textId="5B73BDAF"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_Toc229904454 \h </w:instrText>
      </w:r>
      <w:r>
        <w:fldChar w:fldCharType="separate"/>
      </w:r>
      <w:r>
        <w:t>II</w:t>
      </w:r>
      <w:r>
        <w:fldChar w:fldCharType="end"/>
      </w:r>
    </w:p>
    <w:p w14:paraId="205C2844" w14:textId="087AA0D4"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_Toc229904455 \h </w:instrText>
      </w:r>
      <w:r>
        <w:fldChar w:fldCharType="separate"/>
      </w:r>
      <w:r>
        <w:t>IV</w:t>
      </w:r>
      <w:r>
        <w:fldChar w:fldCharType="end"/>
      </w:r>
    </w:p>
    <w:p w14:paraId="0A818369" w14:textId="27843FA7"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_Toc229904456 \h </w:instrText>
      </w:r>
      <w:r>
        <w:fldChar w:fldCharType="separate"/>
      </w:r>
      <w:r>
        <w:t>VII</w:t>
      </w:r>
      <w:r>
        <w:fldChar w:fldCharType="end"/>
      </w:r>
    </w:p>
    <w:p w14:paraId="259B0A4B" w14:textId="3E5C07DA"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_Toc229904457 \h </w:instrText>
      </w:r>
      <w:r>
        <w:fldChar w:fldCharType="separate"/>
      </w:r>
      <w:r>
        <w:t>VII</w:t>
      </w:r>
      <w:r>
        <w:fldChar w:fldCharType="end"/>
      </w:r>
    </w:p>
    <w:p w14:paraId="47E6AD19" w14:textId="5BE784C5"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Tabellen-Anhang-Verzeichnis</w:t>
      </w:r>
      <w:r>
        <w:tab/>
      </w:r>
      <w:r>
        <w:fldChar w:fldCharType="begin"/>
      </w:r>
      <w:r>
        <w:instrText xml:space="preserve"> PAGEREF _Toc229904458 \h </w:instrText>
      </w:r>
      <w:r>
        <w:fldChar w:fldCharType="separate"/>
      </w:r>
      <w:r>
        <w:t>VIII</w:t>
      </w:r>
      <w:r>
        <w:fldChar w:fldCharType="end"/>
      </w:r>
    </w:p>
    <w:p w14:paraId="778B675A" w14:textId="55BB841B"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_Toc229904459 \h </w:instrText>
      </w:r>
      <w:r>
        <w:fldChar w:fldCharType="separate"/>
      </w:r>
      <w:r>
        <w:t>VIII</w:t>
      </w:r>
      <w:r>
        <w:fldChar w:fldCharType="end"/>
      </w:r>
    </w:p>
    <w:p w14:paraId="3A08EEA4" w14:textId="313A2CDB"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_Toc229904460 \h </w:instrText>
      </w:r>
      <w:r>
        <w:fldChar w:fldCharType="separate"/>
      </w:r>
      <w:r>
        <w:t>1</w:t>
      </w:r>
      <w:r>
        <w:fldChar w:fldCharType="end"/>
      </w:r>
    </w:p>
    <w:p w14:paraId="03B7E8AB" w14:textId="2B2774CE"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_Toc229904461 \h </w:instrText>
      </w:r>
      <w:r>
        <w:fldChar w:fldCharType="separate"/>
      </w:r>
      <w:r>
        <w:t>1</w:t>
      </w:r>
      <w:r>
        <w:fldChar w:fldCharType="end"/>
      </w:r>
    </w:p>
    <w:p w14:paraId="4165887E" w14:textId="00BB26CA"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_Toc229904462 \h </w:instrText>
      </w:r>
      <w:r>
        <w:fldChar w:fldCharType="separate"/>
      </w:r>
      <w:r>
        <w:t>1</w:t>
      </w:r>
      <w:r>
        <w:fldChar w:fldCharType="end"/>
      </w:r>
    </w:p>
    <w:p w14:paraId="6F320F3B" w14:textId="72DDB47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_Toc229904463 \h </w:instrText>
      </w:r>
      <w:r>
        <w:fldChar w:fldCharType="separate"/>
      </w:r>
      <w:r>
        <w:t>2</w:t>
      </w:r>
      <w:r>
        <w:fldChar w:fldCharType="end"/>
      </w:r>
    </w:p>
    <w:p w14:paraId="6E7F32E2" w14:textId="53B8BF06"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_Toc229904464 \h </w:instrText>
      </w:r>
      <w:r>
        <w:fldChar w:fldCharType="separate"/>
      </w:r>
      <w:r>
        <w:t>3</w:t>
      </w:r>
      <w:r>
        <w:fldChar w:fldCharType="end"/>
      </w:r>
    </w:p>
    <w:p w14:paraId="20CFEA09" w14:textId="1CD69A65"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_Toc229904465 \h </w:instrText>
      </w:r>
      <w:r>
        <w:fldChar w:fldCharType="separate"/>
      </w:r>
      <w:r>
        <w:t>3</w:t>
      </w:r>
      <w:r>
        <w:fldChar w:fldCharType="end"/>
      </w:r>
    </w:p>
    <w:p w14:paraId="63521E54" w14:textId="11C2D8A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_Toc229904466 \h </w:instrText>
      </w:r>
      <w:r>
        <w:fldChar w:fldCharType="separate"/>
      </w:r>
      <w:r>
        <w:t>3</w:t>
      </w:r>
      <w:r>
        <w:fldChar w:fldCharType="end"/>
      </w:r>
    </w:p>
    <w:p w14:paraId="60626C28" w14:textId="24979962"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_Toc229904467 \h </w:instrText>
      </w:r>
      <w:r>
        <w:fldChar w:fldCharType="separate"/>
      </w:r>
      <w:r>
        <w:t>3</w:t>
      </w:r>
      <w:r>
        <w:fldChar w:fldCharType="end"/>
      </w:r>
    </w:p>
    <w:p w14:paraId="3ADC2D19" w14:textId="53DBDB7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_Toc229904468 \h </w:instrText>
      </w:r>
      <w:r>
        <w:fldChar w:fldCharType="separate"/>
      </w:r>
      <w:r>
        <w:t>4</w:t>
      </w:r>
      <w:r>
        <w:fldChar w:fldCharType="end"/>
      </w:r>
    </w:p>
    <w:p w14:paraId="2BBAE782" w14:textId="31ED491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bCs/>
        </w:rPr>
        <w:t>1.4.2</w:t>
      </w:r>
      <w:r>
        <w:rPr>
          <w:rFonts w:asciiTheme="minorHAnsi" w:eastAsiaTheme="minorEastAsia" w:hAnsiTheme="minorHAnsi" w:cstheme="minorBidi"/>
          <w:kern w:val="2"/>
          <w:sz w:val="24"/>
          <w:szCs w:val="24"/>
          <w:lang w:val="en-US" w:eastAsia="en-US"/>
          <w14:ligatures w14:val="standardContextual"/>
        </w:rPr>
        <w:tab/>
      </w:r>
      <w:r w:rsidRPr="000266F4">
        <w:rPr>
          <w:bCs/>
        </w:rPr>
        <w:t>Statistische Detektion und Vermeidung von Overfitting</w:t>
      </w:r>
      <w:r>
        <w:tab/>
      </w:r>
      <w:r>
        <w:fldChar w:fldCharType="begin"/>
      </w:r>
      <w:r>
        <w:instrText xml:space="preserve"> PAGEREF _Toc229904469 \h </w:instrText>
      </w:r>
      <w:r>
        <w:fldChar w:fldCharType="separate"/>
      </w:r>
      <w:r>
        <w:t>4</w:t>
      </w:r>
      <w:r>
        <w:fldChar w:fldCharType="end"/>
      </w:r>
    </w:p>
    <w:p w14:paraId="3C502E62" w14:textId="23BA7DC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bCs/>
        </w:rPr>
        <w:t>1.4.3</w:t>
      </w:r>
      <w:r>
        <w:rPr>
          <w:rFonts w:asciiTheme="minorHAnsi" w:eastAsiaTheme="minorEastAsia" w:hAnsiTheme="minorHAnsi" w:cstheme="minorBidi"/>
          <w:kern w:val="2"/>
          <w:sz w:val="24"/>
          <w:szCs w:val="24"/>
          <w:lang w:val="en-US" w:eastAsia="en-US"/>
          <w14:ligatures w14:val="standardContextual"/>
        </w:rPr>
        <w:tab/>
      </w:r>
      <w:r w:rsidRPr="000266F4">
        <w:rPr>
          <w:bCs/>
        </w:rPr>
        <w:t>Regime-Wechsel und Exit-Logik</w:t>
      </w:r>
      <w:r>
        <w:tab/>
      </w:r>
      <w:r>
        <w:fldChar w:fldCharType="begin"/>
      </w:r>
      <w:r>
        <w:instrText xml:space="preserve"> PAGEREF _Toc229904470 \h </w:instrText>
      </w:r>
      <w:r>
        <w:fldChar w:fldCharType="separate"/>
      </w:r>
      <w:r>
        <w:t>4</w:t>
      </w:r>
      <w:r>
        <w:fldChar w:fldCharType="end"/>
      </w:r>
    </w:p>
    <w:p w14:paraId="6B103C5E" w14:textId="6095B2CA"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_Toc229904471 \h </w:instrText>
      </w:r>
      <w:r>
        <w:fldChar w:fldCharType="separate"/>
      </w:r>
      <w:r>
        <w:t>5</w:t>
      </w:r>
      <w:r>
        <w:fldChar w:fldCharType="end"/>
      </w:r>
    </w:p>
    <w:p w14:paraId="68E8C906" w14:textId="0A7A084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_Toc229904472 \h </w:instrText>
      </w:r>
      <w:r>
        <w:fldChar w:fldCharType="separate"/>
      </w:r>
      <w:r>
        <w:t>5</w:t>
      </w:r>
      <w:r>
        <w:fldChar w:fldCharType="end"/>
      </w:r>
    </w:p>
    <w:p w14:paraId="4574D427" w14:textId="4B0D790D"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_Toc229904473 \h </w:instrText>
      </w:r>
      <w:r>
        <w:fldChar w:fldCharType="separate"/>
      </w:r>
      <w:r>
        <w:t>6</w:t>
      </w:r>
      <w:r>
        <w:fldChar w:fldCharType="end"/>
      </w:r>
    </w:p>
    <w:p w14:paraId="2DFBC85E" w14:textId="47B0CEA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sidRPr="000266F4">
        <w:rPr>
          <w:lang w:val="en-US"/>
        </w:rPr>
        <w:t>2.1</w:t>
      </w:r>
      <w:r>
        <w:rPr>
          <w:rFonts w:asciiTheme="minorHAnsi" w:eastAsiaTheme="minorEastAsia" w:hAnsiTheme="minorHAnsi" w:cstheme="minorBidi"/>
          <w:kern w:val="2"/>
          <w:sz w:val="24"/>
          <w:szCs w:val="24"/>
          <w:lang w:val="en-US" w:eastAsia="en-US"/>
          <w14:ligatures w14:val="standardContextual"/>
        </w:rPr>
        <w:tab/>
      </w:r>
      <w:r w:rsidRPr="000266F4">
        <w:rPr>
          <w:lang w:val="en-US"/>
        </w:rPr>
        <w:t>Markteffizienzhypothese und Limits of Arbitrage</w:t>
      </w:r>
      <w:r>
        <w:tab/>
      </w:r>
      <w:r>
        <w:fldChar w:fldCharType="begin"/>
      </w:r>
      <w:r>
        <w:instrText xml:space="preserve"> PAGEREF _Toc229904474 \h </w:instrText>
      </w:r>
      <w:r>
        <w:fldChar w:fldCharType="separate"/>
      </w:r>
      <w:r>
        <w:t>6</w:t>
      </w:r>
      <w:r>
        <w:fldChar w:fldCharType="end"/>
      </w:r>
    </w:p>
    <w:p w14:paraId="2F427CB7" w14:textId="70D25129"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_Toc229904475 \h </w:instrText>
      </w:r>
      <w:r>
        <w:fldChar w:fldCharType="separate"/>
      </w:r>
      <w:r>
        <w:t>6</w:t>
      </w:r>
      <w:r>
        <w:fldChar w:fldCharType="end"/>
      </w:r>
    </w:p>
    <w:p w14:paraId="24B745A9" w14:textId="11D661D1"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_Toc229904476 \h </w:instrText>
      </w:r>
      <w:r>
        <w:fldChar w:fldCharType="separate"/>
      </w:r>
      <w:r>
        <w:t>6</w:t>
      </w:r>
      <w:r>
        <w:fldChar w:fldCharType="end"/>
      </w:r>
    </w:p>
    <w:p w14:paraId="25F81B52" w14:textId="289C1D08"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_Toc229904477 \h </w:instrText>
      </w:r>
      <w:r>
        <w:fldChar w:fldCharType="separate"/>
      </w:r>
      <w:r>
        <w:t>7</w:t>
      </w:r>
      <w:r>
        <w:fldChar w:fldCharType="end"/>
      </w:r>
    </w:p>
    <w:p w14:paraId="3A3CD1BC" w14:textId="49BA4C92"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_Toc229904478 \h </w:instrText>
      </w:r>
      <w:r>
        <w:fldChar w:fldCharType="separate"/>
      </w:r>
      <w:r>
        <w:t>8</w:t>
      </w:r>
      <w:r>
        <w:fldChar w:fldCharType="end"/>
      </w:r>
    </w:p>
    <w:p w14:paraId="4A46F4EF" w14:textId="3FD826C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_Toc229904479 \h </w:instrText>
      </w:r>
      <w:r>
        <w:fldChar w:fldCharType="separate"/>
      </w:r>
      <w:r>
        <w:t>8</w:t>
      </w:r>
      <w:r>
        <w:fldChar w:fldCharType="end"/>
      </w:r>
    </w:p>
    <w:p w14:paraId="1F2F5449" w14:textId="49774702"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_Toc229904480 \h </w:instrText>
      </w:r>
      <w:r>
        <w:fldChar w:fldCharType="separate"/>
      </w:r>
      <w:r>
        <w:t>8</w:t>
      </w:r>
      <w:r>
        <w:fldChar w:fldCharType="end"/>
      </w:r>
    </w:p>
    <w:p w14:paraId="75C137BA" w14:textId="1A9EEDD7"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_Toc229904481 \h </w:instrText>
      </w:r>
      <w:r>
        <w:fldChar w:fldCharType="separate"/>
      </w:r>
      <w:r>
        <w:t>9</w:t>
      </w:r>
      <w:r>
        <w:fldChar w:fldCharType="end"/>
      </w:r>
    </w:p>
    <w:p w14:paraId="1083D827" w14:textId="368FFD5A"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lang w:val="en-US"/>
        </w:rPr>
        <w:t>2.3.1</w:t>
      </w:r>
      <w:r>
        <w:rPr>
          <w:rFonts w:asciiTheme="minorHAnsi" w:eastAsiaTheme="minorEastAsia" w:hAnsiTheme="minorHAnsi" w:cstheme="minorBidi"/>
          <w:kern w:val="2"/>
          <w:sz w:val="24"/>
          <w:szCs w:val="24"/>
          <w:lang w:val="en-US" w:eastAsia="en-US"/>
          <w14:ligatures w14:val="standardContextual"/>
        </w:rPr>
        <w:tab/>
      </w:r>
      <w:r w:rsidRPr="000266F4">
        <w:rPr>
          <w:lang w:val="en-US"/>
        </w:rPr>
        <w:t>Das Log-Periodic Power Law Modell (LPPL)</w:t>
      </w:r>
      <w:r>
        <w:tab/>
      </w:r>
      <w:r>
        <w:fldChar w:fldCharType="begin"/>
      </w:r>
      <w:r>
        <w:instrText xml:space="preserve"> PAGEREF _Toc229904482 \h </w:instrText>
      </w:r>
      <w:r>
        <w:fldChar w:fldCharType="separate"/>
      </w:r>
      <w:r>
        <w:t>9</w:t>
      </w:r>
      <w:r>
        <w:fldChar w:fldCharType="end"/>
      </w:r>
    </w:p>
    <w:p w14:paraId="2D081421" w14:textId="4098A71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_Toc229904483 \h </w:instrText>
      </w:r>
      <w:r>
        <w:fldChar w:fldCharType="separate"/>
      </w:r>
      <w:r>
        <w:t>9</w:t>
      </w:r>
      <w:r>
        <w:fldChar w:fldCharType="end"/>
      </w:r>
    </w:p>
    <w:p w14:paraId="29F9062A" w14:textId="0A301E5E"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lastRenderedPageBreak/>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_Toc229904484 \h </w:instrText>
      </w:r>
      <w:r>
        <w:fldChar w:fldCharType="separate"/>
      </w:r>
      <w:r>
        <w:t>10</w:t>
      </w:r>
      <w:r>
        <w:fldChar w:fldCharType="end"/>
      </w:r>
    </w:p>
    <w:p w14:paraId="516E3A5F" w14:textId="553623B6"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_Toc229904485 \h </w:instrText>
      </w:r>
      <w:r>
        <w:fldChar w:fldCharType="separate"/>
      </w:r>
      <w:r>
        <w:t>11</w:t>
      </w:r>
      <w:r>
        <w:fldChar w:fldCharType="end"/>
      </w:r>
    </w:p>
    <w:p w14:paraId="0CC2226F" w14:textId="6A1EC205"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bi"/>
          </m:rPr>
          <w:rPr>
            <w:rFonts w:ascii="Cambria Math" w:hAnsi="Cambria Math"/>
            <w:lang w:eastAsia="en-US"/>
          </w:rPr>
          <m:t>Bt</m:t>
        </m:r>
        <m:r>
          <w:rPr>
            <w:rFonts w:ascii="Cambria Math" w:hAnsi="Cambria Math"/>
            <w:lang w:eastAsia="en-US"/>
          </w:rPr>
          <m:t>​</m:t>
        </m:r>
      </m:oMath>
      <w:r>
        <w:rPr>
          <w:lang w:eastAsia="en-US"/>
        </w:rPr>
        <w:t>)</w:t>
      </w:r>
      <w:r>
        <w:tab/>
      </w:r>
      <w:r>
        <w:fldChar w:fldCharType="begin"/>
      </w:r>
      <w:r>
        <w:instrText xml:space="preserve"> PAGEREF _Toc229904486 \h </w:instrText>
      </w:r>
      <w:r>
        <w:fldChar w:fldCharType="separate"/>
      </w:r>
      <w:r>
        <w:t>11</w:t>
      </w:r>
      <w:r>
        <w:fldChar w:fldCharType="end"/>
      </w:r>
    </w:p>
    <w:p w14:paraId="0EAFC096" w14:textId="39DF1DB0"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_Toc229904487 \h </w:instrText>
      </w:r>
      <w:r>
        <w:fldChar w:fldCharType="separate"/>
      </w:r>
      <w:r>
        <w:t>11</w:t>
      </w:r>
      <w:r>
        <w:fldChar w:fldCharType="end"/>
      </w:r>
    </w:p>
    <w:p w14:paraId="077C002E" w14:textId="129A4A75"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_Toc229904488 \h </w:instrText>
      </w:r>
      <w:r>
        <w:fldChar w:fldCharType="separate"/>
      </w:r>
      <w:r>
        <w:t>12</w:t>
      </w:r>
      <w:r>
        <w:fldChar w:fldCharType="end"/>
      </w:r>
    </w:p>
    <w:p w14:paraId="3B1F9557" w14:textId="2B5FBBB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_Toc229904489 \h </w:instrText>
      </w:r>
      <w:r>
        <w:fldChar w:fldCharType="separate"/>
      </w:r>
      <w:r>
        <w:t>12</w:t>
      </w:r>
      <w:r>
        <w:fldChar w:fldCharType="end"/>
      </w:r>
    </w:p>
    <w:p w14:paraId="45B10006" w14:textId="514C836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_Toc229904490 \h </w:instrText>
      </w:r>
      <w:r>
        <w:fldChar w:fldCharType="separate"/>
      </w:r>
      <w:r>
        <w:t>12</w:t>
      </w:r>
      <w:r>
        <w:fldChar w:fldCharType="end"/>
      </w:r>
    </w:p>
    <w:p w14:paraId="325AC2B8" w14:textId="4F35332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sidRPr="000266F4">
        <w:rPr>
          <w:lang w:val="en-US"/>
        </w:rPr>
        <w:t>2.5.3</w:t>
      </w:r>
      <w:r>
        <w:rPr>
          <w:rFonts w:asciiTheme="minorHAnsi" w:eastAsiaTheme="minorEastAsia" w:hAnsiTheme="minorHAnsi" w:cstheme="minorBidi"/>
          <w:kern w:val="2"/>
          <w:sz w:val="24"/>
          <w:szCs w:val="24"/>
          <w:lang w:val="en-US" w:eastAsia="en-US"/>
          <w14:ligatures w14:val="standardContextual"/>
        </w:rPr>
        <w:tab/>
      </w:r>
      <w:r w:rsidRPr="000266F4">
        <w:rPr>
          <w:lang w:val="en-US"/>
        </w:rPr>
        <w:t>Der PSY-Test (Phillips-Shi-Yu)</w:t>
      </w:r>
      <w:r>
        <w:tab/>
      </w:r>
      <w:r>
        <w:fldChar w:fldCharType="begin"/>
      </w:r>
      <w:r>
        <w:instrText xml:space="preserve"> PAGEREF _Toc229904491 \h </w:instrText>
      </w:r>
      <w:r>
        <w:fldChar w:fldCharType="separate"/>
      </w:r>
      <w:r>
        <w:t>13</w:t>
      </w:r>
      <w:r>
        <w:fldChar w:fldCharType="end"/>
      </w:r>
    </w:p>
    <w:p w14:paraId="5EECCCD5" w14:textId="680FD44D"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_Toc229904492 \h </w:instrText>
      </w:r>
      <w:r>
        <w:fldChar w:fldCharType="separate"/>
      </w:r>
      <w:r>
        <w:t>14</w:t>
      </w:r>
      <w:r>
        <w:fldChar w:fldCharType="end"/>
      </w:r>
    </w:p>
    <w:p w14:paraId="3D7AE5DD" w14:textId="244C09F9"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_Toc229904493 \h </w:instrText>
      </w:r>
      <w:r>
        <w:fldChar w:fldCharType="separate"/>
      </w:r>
      <w:r>
        <w:t>14</w:t>
      </w:r>
      <w:r>
        <w:fldChar w:fldCharType="end"/>
      </w:r>
    </w:p>
    <w:p w14:paraId="2ED12B00" w14:textId="470B121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_Toc229904494 \h </w:instrText>
      </w:r>
      <w:r>
        <w:fldChar w:fldCharType="separate"/>
      </w:r>
      <w:r>
        <w:t>14</w:t>
      </w:r>
      <w:r>
        <w:fldChar w:fldCharType="end"/>
      </w:r>
    </w:p>
    <w:p w14:paraId="296B5F11" w14:textId="5AE1F8A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_Toc229904495 \h </w:instrText>
      </w:r>
      <w:r>
        <w:fldChar w:fldCharType="separate"/>
      </w:r>
      <w:r>
        <w:t>15</w:t>
      </w:r>
      <w:r>
        <w:fldChar w:fldCharType="end"/>
      </w:r>
    </w:p>
    <w:p w14:paraId="172ACE45" w14:textId="6EE5F179"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_Toc229904496 \h </w:instrText>
      </w:r>
      <w:r>
        <w:fldChar w:fldCharType="separate"/>
      </w:r>
      <w:r>
        <w:t>16</w:t>
      </w:r>
      <w:r>
        <w:fldChar w:fldCharType="end"/>
      </w:r>
    </w:p>
    <w:p w14:paraId="6037DE4B" w14:textId="35DD6C8F"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_Toc229904497 \h </w:instrText>
      </w:r>
      <w:r>
        <w:fldChar w:fldCharType="separate"/>
      </w:r>
      <w:r>
        <w:t>16</w:t>
      </w:r>
      <w:r>
        <w:fldChar w:fldCharType="end"/>
      </w:r>
    </w:p>
    <w:p w14:paraId="5A57CA0C" w14:textId="65BE828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_Toc229904498 \h </w:instrText>
      </w:r>
      <w:r>
        <w:fldChar w:fldCharType="separate"/>
      </w:r>
      <w:r>
        <w:t>16</w:t>
      </w:r>
      <w:r>
        <w:fldChar w:fldCharType="end"/>
      </w:r>
    </w:p>
    <w:p w14:paraId="74EF104A" w14:textId="7F2D8097"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_Toc229904499 \h </w:instrText>
      </w:r>
      <w:r>
        <w:fldChar w:fldCharType="separate"/>
      </w:r>
      <w:r>
        <w:t>17</w:t>
      </w:r>
      <w:r>
        <w:fldChar w:fldCharType="end"/>
      </w:r>
    </w:p>
    <w:p w14:paraId="1250D03C" w14:textId="300991B0"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_Toc229904500 \h </w:instrText>
      </w:r>
      <w:r>
        <w:fldChar w:fldCharType="separate"/>
      </w:r>
      <w:r>
        <w:t>17</w:t>
      </w:r>
      <w:r>
        <w:fldChar w:fldCharType="end"/>
      </w:r>
    </w:p>
    <w:p w14:paraId="41515042" w14:textId="3EBB7122"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_Toc229904501 \h </w:instrText>
      </w:r>
      <w:r>
        <w:fldChar w:fldCharType="separate"/>
      </w:r>
      <w:r>
        <w:t>18</w:t>
      </w:r>
      <w:r>
        <w:fldChar w:fldCharType="end"/>
      </w:r>
    </w:p>
    <w:p w14:paraId="6780D23C" w14:textId="0C6B947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_Toc229904502 \h </w:instrText>
      </w:r>
      <w:r>
        <w:fldChar w:fldCharType="separate"/>
      </w:r>
      <w:r>
        <w:t>18</w:t>
      </w:r>
      <w:r>
        <w:fldChar w:fldCharType="end"/>
      </w:r>
    </w:p>
    <w:p w14:paraId="540E34F7" w14:textId="422312F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_Toc229904503 \h </w:instrText>
      </w:r>
      <w:r>
        <w:fldChar w:fldCharType="separate"/>
      </w:r>
      <w:r>
        <w:t>18</w:t>
      </w:r>
      <w:r>
        <w:fldChar w:fldCharType="end"/>
      </w:r>
    </w:p>
    <w:p w14:paraId="4012DA85" w14:textId="417CFD2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_Toc229904504 \h </w:instrText>
      </w:r>
      <w:r>
        <w:fldChar w:fldCharType="separate"/>
      </w:r>
      <w:r>
        <w:t>20</w:t>
      </w:r>
      <w:r>
        <w:fldChar w:fldCharType="end"/>
      </w:r>
    </w:p>
    <w:p w14:paraId="2E5604A6" w14:textId="44145A31"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_Toc229904505 \h </w:instrText>
      </w:r>
      <w:r>
        <w:fldChar w:fldCharType="separate"/>
      </w:r>
      <w:r>
        <w:t>20</w:t>
      </w:r>
      <w:r>
        <w:fldChar w:fldCharType="end"/>
      </w:r>
    </w:p>
    <w:p w14:paraId="34FD1019" w14:textId="137841D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_Toc229904506 \h </w:instrText>
      </w:r>
      <w:r>
        <w:fldChar w:fldCharType="separate"/>
      </w:r>
      <w:r>
        <w:t>20</w:t>
      </w:r>
      <w:r>
        <w:fldChar w:fldCharType="end"/>
      </w:r>
    </w:p>
    <w:p w14:paraId="6B5F66F8" w14:textId="6429B72A"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_Toc229904507 \h </w:instrText>
      </w:r>
      <w:r>
        <w:fldChar w:fldCharType="separate"/>
      </w:r>
      <w:r>
        <w:t>22</w:t>
      </w:r>
      <w:r>
        <w:fldChar w:fldCharType="end"/>
      </w:r>
    </w:p>
    <w:p w14:paraId="45FE3AC5" w14:textId="479474BF"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_Toc229904508 \h </w:instrText>
      </w:r>
      <w:r>
        <w:fldChar w:fldCharType="separate"/>
      </w:r>
      <w:r>
        <w:t>22</w:t>
      </w:r>
      <w:r>
        <w:fldChar w:fldCharType="end"/>
      </w:r>
    </w:p>
    <w:p w14:paraId="45216903" w14:textId="7B24422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_Toc229904509 \h </w:instrText>
      </w:r>
      <w:r>
        <w:fldChar w:fldCharType="separate"/>
      </w:r>
      <w:r>
        <w:t>24</w:t>
      </w:r>
      <w:r>
        <w:fldChar w:fldCharType="end"/>
      </w:r>
    </w:p>
    <w:p w14:paraId="2DC682F0" w14:textId="066DCCD1"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rFonts w:asciiTheme="minorHAnsi" w:eastAsiaTheme="minorEastAsia" w:hAnsiTheme="minorHAnsi" w:cstheme="minorBidi"/>
          <w:kern w:val="2"/>
          <w:sz w:val="24"/>
          <w:szCs w:val="24"/>
          <w:lang w:val="en-US" w:eastAsia="en-US"/>
          <w14:ligatures w14:val="standardContextual"/>
        </w:rPr>
        <w:tab/>
      </w:r>
      <w:r>
        <w:rPr>
          <w:lang w:eastAsia="en-US"/>
        </w:rPr>
        <w:t>Iterative Strategieentwicklung: Der Pfad zu Version 7</w:t>
      </w:r>
      <w:r>
        <w:tab/>
      </w:r>
      <w:r>
        <w:fldChar w:fldCharType="begin"/>
      </w:r>
      <w:r>
        <w:instrText xml:space="preserve"> PAGEREF _Toc229904510 \h </w:instrText>
      </w:r>
      <w:r>
        <w:fldChar w:fldCharType="separate"/>
      </w:r>
      <w:r>
        <w:t>24</w:t>
      </w:r>
      <w:r>
        <w:fldChar w:fldCharType="end"/>
      </w:r>
    </w:p>
    <w:p w14:paraId="339A0BC7" w14:textId="52C8DCA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_Toc229904511 \h </w:instrText>
      </w:r>
      <w:r>
        <w:fldChar w:fldCharType="separate"/>
      </w:r>
      <w:r>
        <w:t>25</w:t>
      </w:r>
      <w:r>
        <w:fldChar w:fldCharType="end"/>
      </w:r>
    </w:p>
    <w:p w14:paraId="37C29BEC" w14:textId="1B25CCD8"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_Toc229904512 \h </w:instrText>
      </w:r>
      <w:r>
        <w:fldChar w:fldCharType="separate"/>
      </w:r>
      <w:r>
        <w:t>26</w:t>
      </w:r>
      <w:r>
        <w:fldChar w:fldCharType="end"/>
      </w:r>
    </w:p>
    <w:p w14:paraId="3FE48347" w14:textId="1AF7453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_Toc229904513 \h </w:instrText>
      </w:r>
      <w:r>
        <w:fldChar w:fldCharType="separate"/>
      </w:r>
      <w:r>
        <w:t>26</w:t>
      </w:r>
      <w:r>
        <w:fldChar w:fldCharType="end"/>
      </w:r>
    </w:p>
    <w:p w14:paraId="3C8D0CC4" w14:textId="34DD7237"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_Toc229904514 \h </w:instrText>
      </w:r>
      <w:r>
        <w:fldChar w:fldCharType="separate"/>
      </w:r>
      <w:r>
        <w:t>28</w:t>
      </w:r>
      <w:r>
        <w:fldChar w:fldCharType="end"/>
      </w:r>
    </w:p>
    <w:p w14:paraId="0A2F8A1B" w14:textId="1C03D81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_Toc229904515 \h </w:instrText>
      </w:r>
      <w:r>
        <w:fldChar w:fldCharType="separate"/>
      </w:r>
      <w:r>
        <w:t>28</w:t>
      </w:r>
      <w:r>
        <w:fldChar w:fldCharType="end"/>
      </w:r>
    </w:p>
    <w:p w14:paraId="5CD1EB8C" w14:textId="6EA9C7A6"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w:t>
      </w:r>
      <m:oMath>
        <m:r>
          <m:rPr>
            <m:sty m:val="b"/>
          </m:rPr>
          <w:rPr>
            <w:rFonts w:ascii="Cambria Math" w:hAnsi="Cambria Math"/>
          </w:rPr>
          <m:t>MaxDD</m:t>
        </m:r>
      </m:oMath>
      <w:r>
        <w:rPr>
          <w:lang w:eastAsia="en-US"/>
        </w:rPr>
        <w:t>) als primäres Risikomass</w:t>
      </w:r>
      <w:r>
        <w:tab/>
      </w:r>
      <w:r>
        <w:fldChar w:fldCharType="begin"/>
      </w:r>
      <w:r>
        <w:instrText xml:space="preserve"> PAGEREF _Toc229904516 \h </w:instrText>
      </w:r>
      <w:r>
        <w:fldChar w:fldCharType="separate"/>
      </w:r>
      <w:r>
        <w:t>29</w:t>
      </w:r>
      <w:r>
        <w:fldChar w:fldCharType="end"/>
      </w:r>
    </w:p>
    <w:p w14:paraId="7C464D78" w14:textId="48920C0C"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_Toc229904517 \h </w:instrText>
      </w:r>
      <w:r>
        <w:fldChar w:fldCharType="separate"/>
      </w:r>
      <w:r>
        <w:t>29</w:t>
      </w:r>
      <w:r>
        <w:fldChar w:fldCharType="end"/>
      </w:r>
    </w:p>
    <w:p w14:paraId="3016FF36" w14:textId="5C7B73BF"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_Toc229904518 \h </w:instrText>
      </w:r>
      <w:r>
        <w:fldChar w:fldCharType="separate"/>
      </w:r>
      <w:r>
        <w:t>30</w:t>
      </w:r>
      <w:r>
        <w:fldChar w:fldCharType="end"/>
      </w:r>
    </w:p>
    <w:p w14:paraId="7D4995F4" w14:textId="2FEDB75D"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rPr>
          <w:lang w:eastAsia="en-US"/>
        </w:rPr>
        <w:lastRenderedPageBreak/>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_Toc229904519 \h </w:instrText>
      </w:r>
      <w:r>
        <w:fldChar w:fldCharType="separate"/>
      </w:r>
      <w:r>
        <w:t>31</w:t>
      </w:r>
      <w:r>
        <w:fldChar w:fldCharType="end"/>
      </w:r>
    </w:p>
    <w:p w14:paraId="0B0A9B98" w14:textId="15C95E94"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_Toc229904520 \h </w:instrText>
      </w:r>
      <w:r>
        <w:fldChar w:fldCharType="separate"/>
      </w:r>
      <w:r>
        <w:t>32</w:t>
      </w:r>
      <w:r>
        <w:fldChar w:fldCharType="end"/>
      </w:r>
    </w:p>
    <w:p w14:paraId="30FFC3B4" w14:textId="0ED90278"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_Toc229904521 \h </w:instrText>
      </w:r>
      <w:r>
        <w:fldChar w:fldCharType="separate"/>
      </w:r>
      <w:r>
        <w:t>33</w:t>
      </w:r>
      <w:r>
        <w:fldChar w:fldCharType="end"/>
      </w:r>
    </w:p>
    <w:p w14:paraId="5F038DAE" w14:textId="62CEC965"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_Toc229904522 \h </w:instrText>
      </w:r>
      <w:r>
        <w:fldChar w:fldCharType="separate"/>
      </w:r>
      <w:r>
        <w:t>33</w:t>
      </w:r>
      <w:r>
        <w:fldChar w:fldCharType="end"/>
      </w:r>
    </w:p>
    <w:p w14:paraId="265F3C61" w14:textId="54B06AD5"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_Toc229904523 \h </w:instrText>
      </w:r>
      <w:r>
        <w:fldChar w:fldCharType="separate"/>
      </w:r>
      <w:r>
        <w:t>34</w:t>
      </w:r>
      <w:r>
        <w:fldChar w:fldCharType="end"/>
      </w:r>
    </w:p>
    <w:p w14:paraId="2E9C2BDB" w14:textId="72A6BDA6"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_Toc229904524 \h </w:instrText>
      </w:r>
      <w:r>
        <w:fldChar w:fldCharType="separate"/>
      </w:r>
      <w:r>
        <w:t>37</w:t>
      </w:r>
      <w:r>
        <w:fldChar w:fldCharType="end"/>
      </w:r>
    </w:p>
    <w:p w14:paraId="384B4980" w14:textId="39B5850B"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_Toc229904525 \h </w:instrText>
      </w:r>
      <w:r>
        <w:fldChar w:fldCharType="separate"/>
      </w:r>
      <w:r>
        <w:t>39</w:t>
      </w:r>
      <w:r>
        <w:fldChar w:fldCharType="end"/>
      </w:r>
    </w:p>
    <w:p w14:paraId="3B4F7E47" w14:textId="20B7505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_Toc229904526 \h </w:instrText>
      </w:r>
      <w:r>
        <w:fldChar w:fldCharType="separate"/>
      </w:r>
      <w:r>
        <w:t>40</w:t>
      </w:r>
      <w:r>
        <w:fldChar w:fldCharType="end"/>
      </w:r>
    </w:p>
    <w:p w14:paraId="73AC4E45" w14:textId="5484B0CD"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_Toc229904527 \h </w:instrText>
      </w:r>
      <w:r>
        <w:fldChar w:fldCharType="separate"/>
      </w:r>
      <w:r>
        <w:t>40</w:t>
      </w:r>
      <w:r>
        <w:fldChar w:fldCharType="end"/>
      </w:r>
    </w:p>
    <w:p w14:paraId="34439D29" w14:textId="16BF25D2"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_Toc229904528 \h </w:instrText>
      </w:r>
      <w:r>
        <w:fldChar w:fldCharType="separate"/>
      </w:r>
      <w:r>
        <w:t>42</w:t>
      </w:r>
      <w:r>
        <w:fldChar w:fldCharType="end"/>
      </w:r>
    </w:p>
    <w:p w14:paraId="20F0FD8C" w14:textId="1DE5E96A" w:rsidR="00722482" w:rsidRDefault="00722482">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_Toc229904529 \h </w:instrText>
      </w:r>
      <w:r>
        <w:fldChar w:fldCharType="separate"/>
      </w:r>
      <w:r>
        <w:t>44</w:t>
      </w:r>
      <w:r>
        <w:fldChar w:fldCharType="end"/>
      </w:r>
    </w:p>
    <w:p w14:paraId="583B9A8E" w14:textId="418BF816"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_Toc229904530 \h </w:instrText>
      </w:r>
      <w:r>
        <w:fldChar w:fldCharType="separate"/>
      </w:r>
      <w:r>
        <w:t>47</w:t>
      </w:r>
      <w:r>
        <w:fldChar w:fldCharType="end"/>
      </w:r>
    </w:p>
    <w:p w14:paraId="01A52A5B" w14:textId="2CEFEA3F"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_Toc229904531 \h </w:instrText>
      </w:r>
      <w:r>
        <w:fldChar w:fldCharType="separate"/>
      </w:r>
      <w:r>
        <w:t>47</w:t>
      </w:r>
      <w:r>
        <w:fldChar w:fldCharType="end"/>
      </w:r>
    </w:p>
    <w:p w14:paraId="3856A6B2" w14:textId="3EC0345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_Toc229904532 \h </w:instrText>
      </w:r>
      <w:r>
        <w:fldChar w:fldCharType="separate"/>
      </w:r>
      <w:r>
        <w:t>48</w:t>
      </w:r>
      <w:r>
        <w:fldChar w:fldCharType="end"/>
      </w:r>
    </w:p>
    <w:p w14:paraId="6F45D8FF" w14:textId="58EAD014"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_Toc229904533 \h </w:instrText>
      </w:r>
      <w:r>
        <w:fldChar w:fldCharType="separate"/>
      </w:r>
      <w:r>
        <w:t>49</w:t>
      </w:r>
      <w:r>
        <w:fldChar w:fldCharType="end"/>
      </w:r>
    </w:p>
    <w:p w14:paraId="65A2AE3D" w14:textId="29E41538"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_Toc229904534 \h </w:instrText>
      </w:r>
      <w:r>
        <w:fldChar w:fldCharType="separate"/>
      </w:r>
      <w:r>
        <w:t>51</w:t>
      </w:r>
      <w:r>
        <w:fldChar w:fldCharType="end"/>
      </w:r>
    </w:p>
    <w:p w14:paraId="2D0340E3" w14:textId="08140819"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_Toc229904535 \h </w:instrText>
      </w:r>
      <w:r>
        <w:fldChar w:fldCharType="separate"/>
      </w:r>
      <w:r>
        <w:t>51</w:t>
      </w:r>
      <w:r>
        <w:fldChar w:fldCharType="end"/>
      </w:r>
    </w:p>
    <w:p w14:paraId="70DD1F6D" w14:textId="7D8F904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_Toc229904536 \h </w:instrText>
      </w:r>
      <w:r>
        <w:fldChar w:fldCharType="separate"/>
      </w:r>
      <w:r>
        <w:t>52</w:t>
      </w:r>
      <w:r>
        <w:fldChar w:fldCharType="end"/>
      </w:r>
    </w:p>
    <w:p w14:paraId="6E0B8611" w14:textId="51578CC8"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_Toc229904537 \h </w:instrText>
      </w:r>
      <w:r>
        <w:fldChar w:fldCharType="separate"/>
      </w:r>
      <w:r>
        <w:t>54</w:t>
      </w:r>
      <w:r>
        <w:fldChar w:fldCharType="end"/>
      </w:r>
    </w:p>
    <w:p w14:paraId="4B23228D" w14:textId="49B3A725"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_Toc229904538 \h </w:instrText>
      </w:r>
      <w:r>
        <w:fldChar w:fldCharType="separate"/>
      </w:r>
      <w:r>
        <w:t>57</w:t>
      </w:r>
      <w:r>
        <w:fldChar w:fldCharType="end"/>
      </w:r>
    </w:p>
    <w:p w14:paraId="1DF1561D" w14:textId="43E9D9A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_Toc229904539 \h </w:instrText>
      </w:r>
      <w:r>
        <w:fldChar w:fldCharType="separate"/>
      </w:r>
      <w:r>
        <w:t>57</w:t>
      </w:r>
      <w:r>
        <w:fldChar w:fldCharType="end"/>
      </w:r>
    </w:p>
    <w:p w14:paraId="4E8156AC" w14:textId="09F84750"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_Toc229904540 \h </w:instrText>
      </w:r>
      <w:r>
        <w:fldChar w:fldCharType="separate"/>
      </w:r>
      <w:r>
        <w:t>59</w:t>
      </w:r>
      <w:r>
        <w:fldChar w:fldCharType="end"/>
      </w:r>
    </w:p>
    <w:p w14:paraId="52E6F0E8" w14:textId="3934D08B"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 xml:space="preserve">Anhang B – </w:t>
      </w:r>
      <m:oMath>
        <m:r>
          <m:rPr>
            <m:sty m:val="b"/>
          </m:rPr>
          <w:rPr>
            <w:rFonts w:ascii="Cambria Math" w:hAnsi="Cambria Math"/>
          </w:rPr>
          <m:t>BSADF</m:t>
        </m:r>
      </m:oMath>
      <w:r>
        <w:t>-Robustheits-Diagnostik (</w:t>
      </w:r>
      <w:r w:rsidRPr="000266F4">
        <w:rPr>
          <w:rFonts w:ascii="Consolas" w:hAnsi="Consolas" w:cs="Consolas"/>
        </w:rPr>
        <w:t>min_window</w:t>
      </w:r>
      <w:r>
        <w:t>-Variation)</w:t>
      </w:r>
      <w:r>
        <w:tab/>
      </w:r>
      <w:r>
        <w:fldChar w:fldCharType="begin"/>
      </w:r>
      <w:r>
        <w:instrText xml:space="preserve"> PAGEREF _Toc229904541 \h </w:instrText>
      </w:r>
      <w:r>
        <w:fldChar w:fldCharType="separate"/>
      </w:r>
      <w:r>
        <w:t>59</w:t>
      </w:r>
      <w:r>
        <w:fldChar w:fldCharType="end"/>
      </w:r>
    </w:p>
    <w:p w14:paraId="00B4C7C1" w14:textId="0D56C4BF"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_Toc229904542 \h </w:instrText>
      </w:r>
      <w:r>
        <w:fldChar w:fldCharType="separate"/>
      </w:r>
      <w:r>
        <w:t>61</w:t>
      </w:r>
      <w:r>
        <w:fldChar w:fldCharType="end"/>
      </w:r>
    </w:p>
    <w:p w14:paraId="325FF7ED" w14:textId="6010D3DE"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_Toc229904543 \h </w:instrText>
      </w:r>
      <w:r>
        <w:fldChar w:fldCharType="separate"/>
      </w:r>
      <w:r>
        <w:t>61</w:t>
      </w:r>
      <w:r>
        <w:fldChar w:fldCharType="end"/>
      </w:r>
    </w:p>
    <w:p w14:paraId="26B71D83" w14:textId="1CD1F5BC"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_Toc229904544 \h </w:instrText>
      </w:r>
      <w:r>
        <w:fldChar w:fldCharType="separate"/>
      </w:r>
      <w:r>
        <w:t>62</w:t>
      </w:r>
      <w:r>
        <w:fldChar w:fldCharType="end"/>
      </w:r>
    </w:p>
    <w:p w14:paraId="59F3E478" w14:textId="7A8F89CE"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_Toc229904545 \h </w:instrText>
      </w:r>
      <w:r>
        <w:fldChar w:fldCharType="separate"/>
      </w:r>
      <w:r>
        <w:t>64</w:t>
      </w:r>
      <w:r>
        <w:fldChar w:fldCharType="end"/>
      </w:r>
    </w:p>
    <w:p w14:paraId="7C90C8C9" w14:textId="63552EF7"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_Toc229904546 \h </w:instrText>
      </w:r>
      <w:r>
        <w:fldChar w:fldCharType="separate"/>
      </w:r>
      <w:r>
        <w:t>65</w:t>
      </w:r>
      <w:r>
        <w:fldChar w:fldCharType="end"/>
      </w:r>
    </w:p>
    <w:p w14:paraId="5973D2D6" w14:textId="1AB3625D"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_Toc229904547 \h </w:instrText>
      </w:r>
      <w:r>
        <w:fldChar w:fldCharType="separate"/>
      </w:r>
      <w:r>
        <w:t>68</w:t>
      </w:r>
      <w:r>
        <w:fldChar w:fldCharType="end"/>
      </w:r>
    </w:p>
    <w:p w14:paraId="4B6C337C" w14:textId="6C39443C" w:rsidR="00722482" w:rsidRDefault="00722482">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_Toc229904548 \h </w:instrText>
      </w:r>
      <w:r>
        <w:fldChar w:fldCharType="separate"/>
      </w:r>
      <w:r>
        <w:t>70</w:t>
      </w:r>
      <w:r>
        <w:fldChar w:fldCharType="end"/>
      </w:r>
    </w:p>
    <w:p w14:paraId="10FFEA6D" w14:textId="2E22A734"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_Toc229904549 \h </w:instrText>
      </w:r>
      <w:r>
        <w:fldChar w:fldCharType="separate"/>
      </w:r>
      <w:r>
        <w:t>71</w:t>
      </w:r>
      <w:r>
        <w:fldChar w:fldCharType="end"/>
      </w:r>
    </w:p>
    <w:p w14:paraId="44D10AEC" w14:textId="6547BB3B" w:rsidR="00722482" w:rsidRDefault="00722482">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_Toc229904550 \h </w:instrText>
      </w:r>
      <w:r>
        <w:fldChar w:fldCharType="separate"/>
      </w:r>
      <w:r>
        <w:t>71</w:t>
      </w:r>
      <w:r>
        <w:fldChar w:fldCharType="end"/>
      </w:r>
    </w:p>
    <w:p w14:paraId="75FDEAF0" w14:textId="229CE9D6"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0" w:name="_Toc536357976"/>
      <w:bookmarkStart w:id="11" w:name="_Toc229904456"/>
      <w:r>
        <w:lastRenderedPageBreak/>
        <w:t>Abbildungsverzeichnis</w:t>
      </w:r>
      <w:bookmarkEnd w:id="10"/>
      <w:bookmarkEnd w:id="11"/>
    </w:p>
    <w:p w14:paraId="0693A404" w14:textId="60082BE1" w:rsidR="00722482"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904556" w:history="1">
        <w:r w:rsidR="00722482" w:rsidRPr="002235BE">
          <w:rPr>
            <w:rStyle w:val="Hyperlink"/>
            <w:noProof/>
          </w:rPr>
          <w:t>Abbildung 1: Extremereignis Monte-Carlo Simulation</w:t>
        </w:r>
        <w:r w:rsidR="00722482">
          <w:rPr>
            <w:noProof/>
            <w:webHidden/>
          </w:rPr>
          <w:tab/>
        </w:r>
        <w:r w:rsidR="00722482">
          <w:rPr>
            <w:noProof/>
            <w:webHidden/>
          </w:rPr>
          <w:fldChar w:fldCharType="begin"/>
        </w:r>
        <w:r w:rsidR="00722482">
          <w:rPr>
            <w:noProof/>
            <w:webHidden/>
          </w:rPr>
          <w:instrText xml:space="preserve"> PAGEREF _Toc229904556 \h </w:instrText>
        </w:r>
        <w:r w:rsidR="00722482">
          <w:rPr>
            <w:noProof/>
            <w:webHidden/>
          </w:rPr>
        </w:r>
        <w:r w:rsidR="00722482">
          <w:rPr>
            <w:noProof/>
            <w:webHidden/>
          </w:rPr>
          <w:fldChar w:fldCharType="separate"/>
        </w:r>
        <w:r w:rsidR="00722482">
          <w:rPr>
            <w:noProof/>
            <w:webHidden/>
          </w:rPr>
          <w:t>II</w:t>
        </w:r>
        <w:r w:rsidR="00722482">
          <w:rPr>
            <w:noProof/>
            <w:webHidden/>
          </w:rPr>
          <w:fldChar w:fldCharType="end"/>
        </w:r>
      </w:hyperlink>
    </w:p>
    <w:p w14:paraId="6907CEA5" w14:textId="695D3CAF"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7" w:history="1">
        <w:r w:rsidRPr="002235BE">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_Toc229904557 \h </w:instrText>
        </w:r>
        <w:r>
          <w:rPr>
            <w:noProof/>
            <w:webHidden/>
          </w:rPr>
        </w:r>
        <w:r>
          <w:rPr>
            <w:noProof/>
            <w:webHidden/>
          </w:rPr>
          <w:fldChar w:fldCharType="separate"/>
        </w:r>
        <w:r>
          <w:rPr>
            <w:noProof/>
            <w:webHidden/>
          </w:rPr>
          <w:t>25</w:t>
        </w:r>
        <w:r>
          <w:rPr>
            <w:noProof/>
            <w:webHidden/>
          </w:rPr>
          <w:fldChar w:fldCharType="end"/>
        </w:r>
      </w:hyperlink>
    </w:p>
    <w:p w14:paraId="6B8F7BB0" w14:textId="1AFF3BE5"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8" w:history="1">
        <w:r w:rsidRPr="002235BE">
          <w:rPr>
            <w:rStyle w:val="Hyperlink"/>
            <w:noProof/>
          </w:rPr>
          <w:t>Abbildung 3: Extremfall Szenario C</w:t>
        </w:r>
        <w:r>
          <w:rPr>
            <w:noProof/>
            <w:webHidden/>
          </w:rPr>
          <w:tab/>
        </w:r>
        <w:r>
          <w:rPr>
            <w:noProof/>
            <w:webHidden/>
          </w:rPr>
          <w:fldChar w:fldCharType="begin"/>
        </w:r>
        <w:r>
          <w:rPr>
            <w:noProof/>
            <w:webHidden/>
          </w:rPr>
          <w:instrText xml:space="preserve"> PAGEREF _Toc229904558 \h </w:instrText>
        </w:r>
        <w:r>
          <w:rPr>
            <w:noProof/>
            <w:webHidden/>
          </w:rPr>
        </w:r>
        <w:r>
          <w:rPr>
            <w:noProof/>
            <w:webHidden/>
          </w:rPr>
          <w:fldChar w:fldCharType="separate"/>
        </w:r>
        <w:r>
          <w:rPr>
            <w:noProof/>
            <w:webHidden/>
          </w:rPr>
          <w:t>31</w:t>
        </w:r>
        <w:r>
          <w:rPr>
            <w:noProof/>
            <w:webHidden/>
          </w:rPr>
          <w:fldChar w:fldCharType="end"/>
        </w:r>
      </w:hyperlink>
    </w:p>
    <w:p w14:paraId="7A88F06A" w14:textId="1DA18375"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9" w:history="1">
        <w:r w:rsidRPr="002235BE">
          <w:rPr>
            <w:rStyle w:val="Hyperlink"/>
            <w:noProof/>
          </w:rPr>
          <w:t>Abbildung 4: Mittlere Blasenbildung Szenario B</w:t>
        </w:r>
        <w:r>
          <w:rPr>
            <w:noProof/>
            <w:webHidden/>
          </w:rPr>
          <w:tab/>
        </w:r>
        <w:r>
          <w:rPr>
            <w:noProof/>
            <w:webHidden/>
          </w:rPr>
          <w:fldChar w:fldCharType="begin"/>
        </w:r>
        <w:r>
          <w:rPr>
            <w:noProof/>
            <w:webHidden/>
          </w:rPr>
          <w:instrText xml:space="preserve"> PAGEREF _Toc229904559 \h </w:instrText>
        </w:r>
        <w:r>
          <w:rPr>
            <w:noProof/>
            <w:webHidden/>
          </w:rPr>
        </w:r>
        <w:r>
          <w:rPr>
            <w:noProof/>
            <w:webHidden/>
          </w:rPr>
          <w:fldChar w:fldCharType="separate"/>
        </w:r>
        <w:r>
          <w:rPr>
            <w:noProof/>
            <w:webHidden/>
          </w:rPr>
          <w:t>32</w:t>
        </w:r>
        <w:r>
          <w:rPr>
            <w:noProof/>
            <w:webHidden/>
          </w:rPr>
          <w:fldChar w:fldCharType="end"/>
        </w:r>
      </w:hyperlink>
    </w:p>
    <w:p w14:paraId="727C1ED9" w14:textId="31FAC76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0" w:history="1">
        <w:r w:rsidRPr="002235BE">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_Toc229904560 \h </w:instrText>
        </w:r>
        <w:r>
          <w:rPr>
            <w:noProof/>
            <w:webHidden/>
          </w:rPr>
        </w:r>
        <w:r>
          <w:rPr>
            <w:noProof/>
            <w:webHidden/>
          </w:rPr>
          <w:fldChar w:fldCharType="separate"/>
        </w:r>
        <w:r>
          <w:rPr>
            <w:noProof/>
            <w:webHidden/>
          </w:rPr>
          <w:t>36</w:t>
        </w:r>
        <w:r>
          <w:rPr>
            <w:noProof/>
            <w:webHidden/>
          </w:rPr>
          <w:fldChar w:fldCharType="end"/>
        </w:r>
      </w:hyperlink>
    </w:p>
    <w:p w14:paraId="1EB84CEA" w14:textId="7A50BDDF"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1" w:history="1">
        <w:r w:rsidRPr="002235BE">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_Toc229904561 \h </w:instrText>
        </w:r>
        <w:r>
          <w:rPr>
            <w:noProof/>
            <w:webHidden/>
          </w:rPr>
        </w:r>
        <w:r>
          <w:rPr>
            <w:noProof/>
            <w:webHidden/>
          </w:rPr>
          <w:fldChar w:fldCharType="separate"/>
        </w:r>
        <w:r>
          <w:rPr>
            <w:noProof/>
            <w:webHidden/>
          </w:rPr>
          <w:t>37</w:t>
        </w:r>
        <w:r>
          <w:rPr>
            <w:noProof/>
            <w:webHidden/>
          </w:rPr>
          <w:fldChar w:fldCharType="end"/>
        </w:r>
      </w:hyperlink>
    </w:p>
    <w:p w14:paraId="1F6B7E02" w14:textId="0825C3B2"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2" w:history="1">
        <w:r w:rsidRPr="002235BE">
          <w:rPr>
            <w:rStyle w:val="Hyperlink"/>
            <w:noProof/>
          </w:rPr>
          <w:t>Abbildung 7: 4-Panel-Analyse bei Richemont</w:t>
        </w:r>
        <w:r>
          <w:rPr>
            <w:noProof/>
            <w:webHidden/>
          </w:rPr>
          <w:tab/>
        </w:r>
        <w:r>
          <w:rPr>
            <w:noProof/>
            <w:webHidden/>
          </w:rPr>
          <w:fldChar w:fldCharType="begin"/>
        </w:r>
        <w:r>
          <w:rPr>
            <w:noProof/>
            <w:webHidden/>
          </w:rPr>
          <w:instrText xml:space="preserve"> PAGEREF _Toc229904562 \h </w:instrText>
        </w:r>
        <w:r>
          <w:rPr>
            <w:noProof/>
            <w:webHidden/>
          </w:rPr>
        </w:r>
        <w:r>
          <w:rPr>
            <w:noProof/>
            <w:webHidden/>
          </w:rPr>
          <w:fldChar w:fldCharType="separate"/>
        </w:r>
        <w:r>
          <w:rPr>
            <w:noProof/>
            <w:webHidden/>
          </w:rPr>
          <w:t>38</w:t>
        </w:r>
        <w:r>
          <w:rPr>
            <w:noProof/>
            <w:webHidden/>
          </w:rPr>
          <w:fldChar w:fldCharType="end"/>
        </w:r>
      </w:hyperlink>
    </w:p>
    <w:p w14:paraId="79CDD3C3" w14:textId="135FDBB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3" w:history="1">
        <w:r w:rsidRPr="002235BE">
          <w:rPr>
            <w:rStyle w:val="Hyperlink"/>
            <w:noProof/>
          </w:rPr>
          <w:t>Abbildung 8: 4-Panel-Analyse der V7-Strategie bei der Partners Group</w:t>
        </w:r>
        <w:r>
          <w:rPr>
            <w:noProof/>
            <w:webHidden/>
          </w:rPr>
          <w:tab/>
        </w:r>
        <w:r>
          <w:rPr>
            <w:noProof/>
            <w:webHidden/>
          </w:rPr>
          <w:fldChar w:fldCharType="begin"/>
        </w:r>
        <w:r>
          <w:rPr>
            <w:noProof/>
            <w:webHidden/>
          </w:rPr>
          <w:instrText xml:space="preserve"> PAGEREF _Toc229904563 \h </w:instrText>
        </w:r>
        <w:r>
          <w:rPr>
            <w:noProof/>
            <w:webHidden/>
          </w:rPr>
        </w:r>
        <w:r>
          <w:rPr>
            <w:noProof/>
            <w:webHidden/>
          </w:rPr>
          <w:fldChar w:fldCharType="separate"/>
        </w:r>
        <w:r>
          <w:rPr>
            <w:noProof/>
            <w:webHidden/>
          </w:rPr>
          <w:t>41</w:t>
        </w:r>
        <w:r>
          <w:rPr>
            <w:noProof/>
            <w:webHidden/>
          </w:rPr>
          <w:fldChar w:fldCharType="end"/>
        </w:r>
      </w:hyperlink>
    </w:p>
    <w:p w14:paraId="6841D327" w14:textId="490F4FB1"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4" w:history="1">
        <w:r w:rsidRPr="002235BE">
          <w:rPr>
            <w:rStyle w:val="Hyperlink"/>
            <w:noProof/>
          </w:rPr>
          <w:t>Abbildung 9: 4-Panel-Analyse der V7-Strategie bei der Sika AG</w:t>
        </w:r>
        <w:r>
          <w:rPr>
            <w:noProof/>
            <w:webHidden/>
          </w:rPr>
          <w:tab/>
        </w:r>
        <w:r>
          <w:rPr>
            <w:noProof/>
            <w:webHidden/>
          </w:rPr>
          <w:fldChar w:fldCharType="begin"/>
        </w:r>
        <w:r>
          <w:rPr>
            <w:noProof/>
            <w:webHidden/>
          </w:rPr>
          <w:instrText xml:space="preserve"> PAGEREF _Toc229904564 \h </w:instrText>
        </w:r>
        <w:r>
          <w:rPr>
            <w:noProof/>
            <w:webHidden/>
          </w:rPr>
        </w:r>
        <w:r>
          <w:rPr>
            <w:noProof/>
            <w:webHidden/>
          </w:rPr>
          <w:fldChar w:fldCharType="separate"/>
        </w:r>
        <w:r>
          <w:rPr>
            <w:noProof/>
            <w:webHidden/>
          </w:rPr>
          <w:t>43</w:t>
        </w:r>
        <w:r>
          <w:rPr>
            <w:noProof/>
            <w:webHidden/>
          </w:rPr>
          <w:fldChar w:fldCharType="end"/>
        </w:r>
      </w:hyperlink>
    </w:p>
    <w:p w14:paraId="21A7F20A" w14:textId="404E6DFD" w:rsidR="002879EF" w:rsidRPr="0001704E" w:rsidRDefault="00046A01" w:rsidP="001C5B74">
      <w:r>
        <w:fldChar w:fldCharType="end"/>
      </w:r>
    </w:p>
    <w:p w14:paraId="0563750D" w14:textId="77777777" w:rsidR="002879EF" w:rsidRPr="0001704E" w:rsidRDefault="002879EF" w:rsidP="00A36C21">
      <w:pPr>
        <w:pStyle w:val="Ueberschrift1ohneNummer"/>
      </w:pPr>
      <w:bookmarkStart w:id="12" w:name="_Toc536357977"/>
      <w:bookmarkStart w:id="13" w:name="_Toc229904457"/>
      <w:r>
        <w:t>Tabellenverzeichnis</w:t>
      </w:r>
      <w:bookmarkEnd w:id="12"/>
      <w:bookmarkEnd w:id="13"/>
    </w:p>
    <w:p w14:paraId="3F01F90A" w14:textId="00BC6388" w:rsidR="00722482"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904551" w:history="1">
        <w:r w:rsidR="00722482" w:rsidRPr="00105A29">
          <w:rPr>
            <w:rStyle w:val="Hyperlink"/>
            <w:noProof/>
          </w:rPr>
          <w:t>Tabelle 1: Methodischer Vergleich der Schwellenwertbestimmung</w:t>
        </w:r>
        <w:r w:rsidR="00722482">
          <w:rPr>
            <w:noProof/>
            <w:webHidden/>
          </w:rPr>
          <w:tab/>
        </w:r>
        <w:r w:rsidR="00722482">
          <w:rPr>
            <w:noProof/>
            <w:webHidden/>
          </w:rPr>
          <w:fldChar w:fldCharType="begin"/>
        </w:r>
        <w:r w:rsidR="00722482">
          <w:rPr>
            <w:noProof/>
            <w:webHidden/>
          </w:rPr>
          <w:instrText xml:space="preserve"> PAGEREF _Toc229904551 \h </w:instrText>
        </w:r>
        <w:r w:rsidR="00722482">
          <w:rPr>
            <w:noProof/>
            <w:webHidden/>
          </w:rPr>
        </w:r>
        <w:r w:rsidR="00722482">
          <w:rPr>
            <w:noProof/>
            <w:webHidden/>
          </w:rPr>
          <w:fldChar w:fldCharType="separate"/>
        </w:r>
        <w:r w:rsidR="00722482">
          <w:rPr>
            <w:noProof/>
            <w:webHidden/>
          </w:rPr>
          <w:t>24</w:t>
        </w:r>
        <w:r w:rsidR="00722482">
          <w:rPr>
            <w:noProof/>
            <w:webHidden/>
          </w:rPr>
          <w:fldChar w:fldCharType="end"/>
        </w:r>
      </w:hyperlink>
    </w:p>
    <w:p w14:paraId="49BBD6B7" w14:textId="670E990C"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2" w:history="1">
        <w:r w:rsidRPr="00105A29">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_Toc229904552 \h </w:instrText>
        </w:r>
        <w:r>
          <w:rPr>
            <w:noProof/>
            <w:webHidden/>
          </w:rPr>
        </w:r>
        <w:r>
          <w:rPr>
            <w:noProof/>
            <w:webHidden/>
          </w:rPr>
          <w:fldChar w:fldCharType="separate"/>
        </w:r>
        <w:r>
          <w:rPr>
            <w:noProof/>
            <w:webHidden/>
          </w:rPr>
          <w:t>28</w:t>
        </w:r>
        <w:r>
          <w:rPr>
            <w:noProof/>
            <w:webHidden/>
          </w:rPr>
          <w:fldChar w:fldCharType="end"/>
        </w:r>
      </w:hyperlink>
    </w:p>
    <w:p w14:paraId="4628FB67" w14:textId="75D7754A"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3" w:history="1">
        <w:r w:rsidRPr="00105A29">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_Toc229904553 \h </w:instrText>
        </w:r>
        <w:r>
          <w:rPr>
            <w:noProof/>
            <w:webHidden/>
          </w:rPr>
        </w:r>
        <w:r>
          <w:rPr>
            <w:noProof/>
            <w:webHidden/>
          </w:rPr>
          <w:fldChar w:fldCharType="separate"/>
        </w:r>
        <w:r>
          <w:rPr>
            <w:noProof/>
            <w:webHidden/>
          </w:rPr>
          <w:t>35</w:t>
        </w:r>
        <w:r>
          <w:rPr>
            <w:noProof/>
            <w:webHidden/>
          </w:rPr>
          <w:fldChar w:fldCharType="end"/>
        </w:r>
      </w:hyperlink>
    </w:p>
    <w:p w14:paraId="2D417EDA" w14:textId="677BC489"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4" w:history="1">
        <w:r w:rsidRPr="00105A29">
          <w:rPr>
            <w:rStyle w:val="Hyperlink"/>
            <w:noProof/>
          </w:rPr>
          <w:t>Tabelle 4: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r>
          <w:rPr>
            <w:noProof/>
            <w:webHidden/>
          </w:rPr>
          <w:tab/>
        </w:r>
        <w:r>
          <w:rPr>
            <w:noProof/>
            <w:webHidden/>
          </w:rPr>
          <w:fldChar w:fldCharType="begin"/>
        </w:r>
        <w:r>
          <w:rPr>
            <w:noProof/>
            <w:webHidden/>
          </w:rPr>
          <w:instrText xml:space="preserve"> PAGEREF _Toc229904554 \h </w:instrText>
        </w:r>
        <w:r>
          <w:rPr>
            <w:noProof/>
            <w:webHidden/>
          </w:rPr>
        </w:r>
        <w:r>
          <w:rPr>
            <w:noProof/>
            <w:webHidden/>
          </w:rPr>
          <w:fldChar w:fldCharType="separate"/>
        </w:r>
        <w:r>
          <w:rPr>
            <w:noProof/>
            <w:webHidden/>
          </w:rPr>
          <w:t>39</w:t>
        </w:r>
        <w:r>
          <w:rPr>
            <w:noProof/>
            <w:webHidden/>
          </w:rPr>
          <w:fldChar w:fldCharType="end"/>
        </w:r>
      </w:hyperlink>
    </w:p>
    <w:p w14:paraId="44AC4245" w14:textId="48825CB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55" w:history="1">
        <w:r w:rsidRPr="00105A29">
          <w:rPr>
            <w:rStyle w:val="Hyperlink"/>
            <w:noProof/>
          </w:rPr>
          <w:t>Tabelle 5: Total Return von Partners Group als Funktion von Basis-Transaktionskosten und Panik-Slippage (2D-Sensitivitätsanalyse)</w:t>
        </w:r>
        <w:r>
          <w:rPr>
            <w:noProof/>
            <w:webHidden/>
          </w:rPr>
          <w:tab/>
        </w:r>
        <w:r>
          <w:rPr>
            <w:noProof/>
            <w:webHidden/>
          </w:rPr>
          <w:fldChar w:fldCharType="begin"/>
        </w:r>
        <w:r>
          <w:rPr>
            <w:noProof/>
            <w:webHidden/>
          </w:rPr>
          <w:instrText xml:space="preserve"> PAGEREF _Toc229904555 \h </w:instrText>
        </w:r>
        <w:r>
          <w:rPr>
            <w:noProof/>
            <w:webHidden/>
          </w:rPr>
        </w:r>
        <w:r>
          <w:rPr>
            <w:noProof/>
            <w:webHidden/>
          </w:rPr>
          <w:fldChar w:fldCharType="separate"/>
        </w:r>
        <w:r>
          <w:rPr>
            <w:noProof/>
            <w:webHidden/>
          </w:rPr>
          <w:t>46</w:t>
        </w:r>
        <w:r>
          <w:rPr>
            <w:noProof/>
            <w:webHidden/>
          </w:rPr>
          <w:fldChar w:fldCharType="end"/>
        </w:r>
      </w:hyperlink>
    </w:p>
    <w:p w14:paraId="6A9E021D" w14:textId="1F771913" w:rsidR="004A760E" w:rsidRDefault="00046A01" w:rsidP="004A760E">
      <w:r>
        <w:fldChar w:fldCharType="end"/>
      </w:r>
      <w:r w:rsidR="002535CC" w:rsidRPr="002535CC">
        <w:t xml:space="preserve"> </w:t>
      </w:r>
      <w:r w:rsidR="004A760E">
        <w:br w:type="page"/>
      </w:r>
    </w:p>
    <w:p w14:paraId="48F1BA71" w14:textId="7C086F2D" w:rsidR="002535CC" w:rsidRDefault="002535CC" w:rsidP="002535CC">
      <w:pPr>
        <w:pStyle w:val="Ueberschrift1ohneNummer"/>
      </w:pPr>
      <w:bookmarkStart w:id="14" w:name="_Toc229904458"/>
      <w:r>
        <w:lastRenderedPageBreak/>
        <w:t>Tabellen</w:t>
      </w:r>
      <w:r>
        <w:t>-Anhang-V</w:t>
      </w:r>
      <w:r>
        <w:t>erzeichni</w:t>
      </w:r>
      <w:r>
        <w:t>s</w:t>
      </w:r>
      <w:bookmarkEnd w:id="14"/>
    </w:p>
    <w:p w14:paraId="48801275" w14:textId="2F6CDAAC" w:rsidR="00722482" w:rsidRDefault="002535CC">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"Tabelle-Anhang" </w:instrText>
      </w:r>
      <w:r>
        <w:fldChar w:fldCharType="separate"/>
      </w:r>
      <w:hyperlink w:anchor="_Toc229904565" w:history="1">
        <w:r w:rsidR="00722482" w:rsidRPr="00E17376">
          <w:rPr>
            <w:rStyle w:val="Hyperlink"/>
            <w:noProof/>
          </w:rPr>
          <w:t>Tabelle-Anhang 1: Sensitivitätsbeurteilung V3-Vorgänger-Konfiguration, max_lookback = 126; n = 178 V7-Hauptmaximum siehe Anhang-Text</w:t>
        </w:r>
        <w:r w:rsidR="00722482">
          <w:rPr>
            <w:noProof/>
            <w:webHidden/>
          </w:rPr>
          <w:tab/>
        </w:r>
        <w:r w:rsidR="00722482">
          <w:rPr>
            <w:noProof/>
            <w:webHidden/>
          </w:rPr>
          <w:fldChar w:fldCharType="begin"/>
        </w:r>
        <w:r w:rsidR="00722482">
          <w:rPr>
            <w:noProof/>
            <w:webHidden/>
          </w:rPr>
          <w:instrText xml:space="preserve"> PAGEREF _Toc229904565 \h </w:instrText>
        </w:r>
        <w:r w:rsidR="00722482">
          <w:rPr>
            <w:noProof/>
            <w:webHidden/>
          </w:rPr>
        </w:r>
        <w:r w:rsidR="00722482">
          <w:rPr>
            <w:noProof/>
            <w:webHidden/>
          </w:rPr>
          <w:fldChar w:fldCharType="separate"/>
        </w:r>
        <w:r w:rsidR="00722482">
          <w:rPr>
            <w:noProof/>
            <w:webHidden/>
          </w:rPr>
          <w:t>60</w:t>
        </w:r>
        <w:r w:rsidR="00722482">
          <w:rPr>
            <w:noProof/>
            <w:webHidden/>
          </w:rPr>
          <w:fldChar w:fldCharType="end"/>
        </w:r>
      </w:hyperlink>
    </w:p>
    <w:p w14:paraId="7450DB42" w14:textId="6EB5C096"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6" w:history="1">
        <w:r w:rsidRPr="00E17376">
          <w:rPr>
            <w:rStyle w:val="Hyperlink"/>
            <w:noProof/>
          </w:rPr>
          <w:t>Tabelle-Anhang 2: V7-Panik-Trades je Titel, klassifiziert nach 6-Monats-Backward-Performance am Trade-Tag</w:t>
        </w:r>
        <w:r>
          <w:rPr>
            <w:noProof/>
            <w:webHidden/>
          </w:rPr>
          <w:tab/>
        </w:r>
        <w:r>
          <w:rPr>
            <w:noProof/>
            <w:webHidden/>
          </w:rPr>
          <w:fldChar w:fldCharType="begin"/>
        </w:r>
        <w:r>
          <w:rPr>
            <w:noProof/>
            <w:webHidden/>
          </w:rPr>
          <w:instrText xml:space="preserve"> PAGEREF _Toc229904566 \h </w:instrText>
        </w:r>
        <w:r>
          <w:rPr>
            <w:noProof/>
            <w:webHidden/>
          </w:rPr>
        </w:r>
        <w:r>
          <w:rPr>
            <w:noProof/>
            <w:webHidden/>
          </w:rPr>
          <w:fldChar w:fldCharType="separate"/>
        </w:r>
        <w:r>
          <w:rPr>
            <w:noProof/>
            <w:webHidden/>
          </w:rPr>
          <w:t>62</w:t>
        </w:r>
        <w:r>
          <w:rPr>
            <w:noProof/>
            <w:webHidden/>
          </w:rPr>
          <w:fldChar w:fldCharType="end"/>
        </w:r>
      </w:hyperlink>
    </w:p>
    <w:p w14:paraId="5CF85B20" w14:textId="15921C50"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7" w:history="1">
        <w:r w:rsidRPr="00E17376">
          <w:rPr>
            <w:rStyle w:val="Hyperlink"/>
            <w:noProof/>
          </w:rPr>
          <w:t>Tabelle-Anhang 3: Die 18 V7-Panik-Trades (vgl. pghn_trade_audit_v7.csv) auf der Partners-Group-Zeitreihe. Klassifikation: Bubble = Bwd &gt; +20 %, Indifferent = −10 % bis +20 %, Crash = Bwd &lt; −10 %</w:t>
        </w:r>
        <w:r>
          <w:rPr>
            <w:noProof/>
            <w:webHidden/>
          </w:rPr>
          <w:tab/>
        </w:r>
        <w:r>
          <w:rPr>
            <w:noProof/>
            <w:webHidden/>
          </w:rPr>
          <w:fldChar w:fldCharType="begin"/>
        </w:r>
        <w:r>
          <w:rPr>
            <w:noProof/>
            <w:webHidden/>
          </w:rPr>
          <w:instrText xml:space="preserve"> PAGEREF _Toc229904567 \h </w:instrText>
        </w:r>
        <w:r>
          <w:rPr>
            <w:noProof/>
            <w:webHidden/>
          </w:rPr>
        </w:r>
        <w:r>
          <w:rPr>
            <w:noProof/>
            <w:webHidden/>
          </w:rPr>
          <w:fldChar w:fldCharType="separate"/>
        </w:r>
        <w:r>
          <w:rPr>
            <w:noProof/>
            <w:webHidden/>
          </w:rPr>
          <w:t>64</w:t>
        </w:r>
        <w:r>
          <w:rPr>
            <w:noProof/>
            <w:webHidden/>
          </w:rPr>
          <w:fldChar w:fldCharType="end"/>
        </w:r>
      </w:hyperlink>
    </w:p>
    <w:p w14:paraId="3ECCC70C" w14:textId="4FEB0850"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8" w:history="1">
        <w:r w:rsidRPr="00E17376">
          <w:rPr>
            <w:rStyle w:val="Hyperlink"/>
            <w:noProof/>
          </w:rPr>
          <w:t>Tabelle-Anhang 4: Wild-Bootstrap-Konfiguration und resultierende kritische BSADF-Schwellen</w:t>
        </w:r>
        <w:r>
          <w:rPr>
            <w:noProof/>
            <w:webHidden/>
          </w:rPr>
          <w:tab/>
        </w:r>
        <w:r>
          <w:rPr>
            <w:noProof/>
            <w:webHidden/>
          </w:rPr>
          <w:fldChar w:fldCharType="begin"/>
        </w:r>
        <w:r>
          <w:rPr>
            <w:noProof/>
            <w:webHidden/>
          </w:rPr>
          <w:instrText xml:space="preserve"> PAGEREF _Toc229904568 \h </w:instrText>
        </w:r>
        <w:r>
          <w:rPr>
            <w:noProof/>
            <w:webHidden/>
          </w:rPr>
        </w:r>
        <w:r>
          <w:rPr>
            <w:noProof/>
            <w:webHidden/>
          </w:rPr>
          <w:fldChar w:fldCharType="separate"/>
        </w:r>
        <w:r>
          <w:rPr>
            <w:noProof/>
            <w:webHidden/>
          </w:rPr>
          <w:t>65</w:t>
        </w:r>
        <w:r>
          <w:rPr>
            <w:noProof/>
            <w:webHidden/>
          </w:rPr>
          <w:fldChar w:fldCharType="end"/>
        </w:r>
      </w:hyperlink>
    </w:p>
    <w:p w14:paraId="50FCEAD4" w14:textId="5FEBCFC5" w:rsidR="00722482" w:rsidRDefault="00722482">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904569" w:history="1">
        <w:r w:rsidRPr="00E17376">
          <w:rPr>
            <w:rStyle w:val="Hyperlink"/>
            <w:noProof/>
          </w:rPr>
          <w:t>Tabelle-Anhang 5: Lag-Sensitivität der V7-Strategie. Die Anzahl der Panik-Trades ist über alle Lag-Wahlen identisch — die Lag-Wahl beeinflusst nur die exakte Ausführungs-Performance, nicht die Trigger-Selektion</w:t>
        </w:r>
        <w:r>
          <w:rPr>
            <w:noProof/>
            <w:webHidden/>
          </w:rPr>
          <w:tab/>
        </w:r>
        <w:r>
          <w:rPr>
            <w:noProof/>
            <w:webHidden/>
          </w:rPr>
          <w:fldChar w:fldCharType="begin"/>
        </w:r>
        <w:r>
          <w:rPr>
            <w:noProof/>
            <w:webHidden/>
          </w:rPr>
          <w:instrText xml:space="preserve"> PAGEREF _Toc229904569 \h </w:instrText>
        </w:r>
        <w:r>
          <w:rPr>
            <w:noProof/>
            <w:webHidden/>
          </w:rPr>
        </w:r>
        <w:r>
          <w:rPr>
            <w:noProof/>
            <w:webHidden/>
          </w:rPr>
          <w:fldChar w:fldCharType="separate"/>
        </w:r>
        <w:r>
          <w:rPr>
            <w:noProof/>
            <w:webHidden/>
          </w:rPr>
          <w:t>66</w:t>
        </w:r>
        <w:r>
          <w:rPr>
            <w:noProof/>
            <w:webHidden/>
          </w:rPr>
          <w:fldChar w:fldCharType="end"/>
        </w:r>
      </w:hyperlink>
    </w:p>
    <w:p w14:paraId="538E2FBD" w14:textId="11C9AE32" w:rsidR="002879EF" w:rsidRDefault="002535CC" w:rsidP="001C5B74">
      <w:r>
        <w:fldChar w:fldCharType="end"/>
      </w:r>
    </w:p>
    <w:p w14:paraId="31988EB6" w14:textId="77777777" w:rsidR="002879EF" w:rsidRPr="0001704E" w:rsidRDefault="002879EF" w:rsidP="00A36C21">
      <w:pPr>
        <w:pStyle w:val="Ueberschrift1ohneNummer"/>
      </w:pPr>
      <w:bookmarkStart w:id="15" w:name="_Toc536357978"/>
      <w:bookmarkStart w:id="16" w:name="_Toc229904459"/>
      <w:r>
        <w:t>Abkürzungsverzeichnis</w:t>
      </w:r>
      <w:bookmarkEnd w:id="15"/>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2488FAA3" w:rsidR="005D3F0D" w:rsidRPr="005D3F0D" w:rsidRDefault="00286580" w:rsidP="005D3F0D">
            <w:pPr>
              <w:jc w:val="left"/>
              <w:rPr>
                <w:b/>
                <w:bCs/>
              </w:rPr>
            </w:pPr>
            <w:r>
              <w:rPr>
                <w:b/>
                <w:bCs/>
              </w:rPr>
              <w:t>ADF</w:t>
            </w:r>
          </w:p>
        </w:tc>
        <w:tc>
          <w:tcPr>
            <w:tcW w:w="6864" w:type="dxa"/>
          </w:tcPr>
          <w:p w14:paraId="3F598DE6" w14:textId="6039F9ED" w:rsidR="005D3F0D" w:rsidRDefault="005D3F0D" w:rsidP="005D3F0D">
            <w:pPr>
              <w:jc w:val="left"/>
            </w:pPr>
            <w:r>
              <w:t>Augmented Dickey-Fuller (statistischer Test)</w:t>
            </w:r>
          </w:p>
        </w:tc>
      </w:tr>
      <w:tr w:rsidR="005D3F0D" w14:paraId="2B994A8F" w14:textId="77777777" w:rsidTr="005D3F0D">
        <w:tc>
          <w:tcPr>
            <w:tcW w:w="2340" w:type="dxa"/>
          </w:tcPr>
          <w:p w14:paraId="0C3CF314" w14:textId="7F4C6FC8" w:rsidR="005D3F0D" w:rsidRPr="005D3F0D" w:rsidRDefault="00286580" w:rsidP="005D3F0D">
            <w:pPr>
              <w:jc w:val="left"/>
              <w:rPr>
                <w:b/>
                <w:bCs/>
              </w:rPr>
            </w:pPr>
            <w:r>
              <w:rPr>
                <w:b/>
                <w:bCs/>
              </w:rPr>
              <w:t>APA</w:t>
            </w:r>
          </w:p>
        </w:tc>
        <w:tc>
          <w:tcPr>
            <w:tcW w:w="6864" w:type="dxa"/>
          </w:tcPr>
          <w:p w14:paraId="1945F373" w14:textId="39DEF99A" w:rsidR="005D3F0D" w:rsidRDefault="005D3F0D" w:rsidP="005D3F0D">
            <w:pPr>
              <w:jc w:val="left"/>
            </w:pPr>
            <w:r>
              <w:t>American Psychological Association (Zitierstandard)</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B&amp;H</w:t>
            </w:r>
          </w:p>
        </w:tc>
        <w:tc>
          <w:tcPr>
            <w:tcW w:w="6864" w:type="dxa"/>
          </w:tcPr>
          <w:p w14:paraId="2A373B48" w14:textId="334CD3FA" w:rsidR="005D3F0D" w:rsidRDefault="005D3F0D" w:rsidP="005D3F0D">
            <w:pPr>
              <w:jc w:val="left"/>
            </w:pPr>
            <w:r>
              <w:t>Buy &amp; Hold (passive Benchmark-Strategie)</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t>BSADF</w:t>
            </w:r>
          </w:p>
        </w:tc>
        <w:tc>
          <w:tcPr>
            <w:tcW w:w="6864" w:type="dxa"/>
          </w:tcPr>
          <w:p w14:paraId="4379BED3" w14:textId="78FA1893" w:rsidR="005D3F0D" w:rsidRDefault="005D3F0D" w:rsidP="005D3F0D">
            <w:pPr>
              <w:jc w:val="left"/>
            </w:pPr>
            <w:r>
              <w:t>Backward Supremum Augmented Dickey-Fuller</w:t>
            </w:r>
          </w:p>
        </w:tc>
      </w:tr>
      <w:tr w:rsidR="005D3F0D" w14:paraId="645CDF40" w14:textId="77777777" w:rsidTr="005D3F0D">
        <w:tc>
          <w:tcPr>
            <w:tcW w:w="2340" w:type="dxa"/>
          </w:tcPr>
          <w:p w14:paraId="3457BDE6" w14:textId="5AE1FB5C" w:rsidR="005D3F0D" w:rsidRPr="005D3F0D" w:rsidRDefault="00286580" w:rsidP="005D3F0D">
            <w:pPr>
              <w:jc w:val="left"/>
              <w:rPr>
                <w:b/>
                <w:bCs/>
              </w:rPr>
            </w:pPr>
            <w:r>
              <w:rPr>
                <w:b/>
                <w:bCs/>
              </w:rPr>
              <w:t>CFR</w:t>
            </w:r>
          </w:p>
        </w:tc>
        <w:tc>
          <w:tcPr>
            <w:tcW w:w="6864" w:type="dxa"/>
          </w:tcPr>
          <w:p w14:paraId="251CFE84" w14:textId="58D19376" w:rsidR="005D3F0D" w:rsidRDefault="005D3F0D" w:rsidP="005D3F0D">
            <w:pPr>
              <w:jc w:val="left"/>
            </w:pPr>
            <w:r>
              <w:t>Compagnie Financière Richemont (Ticker-Symbol)</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t>CHF</w:t>
            </w:r>
          </w:p>
        </w:tc>
        <w:tc>
          <w:tcPr>
            <w:tcW w:w="6864" w:type="dxa"/>
          </w:tcPr>
          <w:p w14:paraId="060142BB" w14:textId="127D8F91" w:rsidR="005D3F0D" w:rsidRDefault="005D3F0D" w:rsidP="005D3F0D">
            <w:pPr>
              <w:jc w:val="left"/>
            </w:pPr>
            <w:r>
              <w:t>Schweizer Franken</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CI</w:t>
            </w:r>
          </w:p>
        </w:tc>
        <w:tc>
          <w:tcPr>
            <w:tcW w:w="6864" w:type="dxa"/>
          </w:tcPr>
          <w:p w14:paraId="5653459E" w14:textId="5F431F5F" w:rsidR="005D3F0D" w:rsidRDefault="005D3F0D" w:rsidP="005D3F0D">
            <w:pPr>
              <w:jc w:val="left"/>
            </w:pPr>
            <w:r>
              <w:t>Konfidenzintervall (Confidence Interval, Bootstrap-Kontext)</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COVID</w:t>
            </w:r>
          </w:p>
        </w:tc>
        <w:tc>
          <w:tcPr>
            <w:tcW w:w="6864" w:type="dxa"/>
          </w:tcPr>
          <w:p w14:paraId="74DFAADC" w14:textId="480C98C1" w:rsidR="005D3F0D" w:rsidRDefault="005D3F0D" w:rsidP="005D3F0D">
            <w:pPr>
              <w:jc w:val="left"/>
            </w:pPr>
            <w:r>
              <w:t>Coronavirus Disease 2019</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DOI</w:t>
            </w:r>
          </w:p>
        </w:tc>
        <w:tc>
          <w:tcPr>
            <w:tcW w:w="6864" w:type="dxa"/>
          </w:tcPr>
          <w:p w14:paraId="5A58584A" w14:textId="2F35AEE9" w:rsidR="005D3F0D" w:rsidRDefault="005D3F0D" w:rsidP="005D3F0D">
            <w:pPr>
              <w:jc w:val="left"/>
            </w:pPr>
            <w:r>
              <w:t>Digital Object Identifier</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EMH</w:t>
            </w:r>
          </w:p>
        </w:tc>
        <w:tc>
          <w:tcPr>
            <w:tcW w:w="6864" w:type="dxa"/>
          </w:tcPr>
          <w:p w14:paraId="2A97304F" w14:textId="0BC5EB31" w:rsidR="005D3F0D" w:rsidRDefault="005D3F0D" w:rsidP="005D3F0D">
            <w:pPr>
              <w:jc w:val="left"/>
            </w:pPr>
            <w:r>
              <w:t>Efficient Market Hypothesis (Markteffizienzhypothese)</w:t>
            </w:r>
          </w:p>
        </w:tc>
      </w:tr>
      <w:tr w:rsidR="005D3F0D" w14:paraId="752578EA" w14:textId="77777777" w:rsidTr="005D3F0D">
        <w:tc>
          <w:tcPr>
            <w:tcW w:w="2340" w:type="dxa"/>
          </w:tcPr>
          <w:p w14:paraId="6F22D09A" w14:textId="2FE11360" w:rsidR="005D3F0D" w:rsidRPr="005D3F0D" w:rsidRDefault="00286580" w:rsidP="005D3F0D">
            <w:pPr>
              <w:jc w:val="left"/>
              <w:rPr>
                <w:b/>
                <w:bCs/>
              </w:rPr>
            </w:pPr>
            <w:r>
              <w:rPr>
                <w:b/>
                <w:bCs/>
              </w:rPr>
              <w:t>GSADF</w:t>
            </w:r>
          </w:p>
        </w:tc>
        <w:tc>
          <w:tcPr>
            <w:tcW w:w="6864" w:type="dxa"/>
          </w:tcPr>
          <w:p w14:paraId="25A990D1" w14:textId="2F3A53F9" w:rsidR="005D3F0D" w:rsidRDefault="005D3F0D" w:rsidP="005D3F0D">
            <w:pPr>
              <w:jc w:val="left"/>
            </w:pPr>
            <w:r>
              <w:t>Generalized Supremum Augmented Dickey-Fuller</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lastRenderedPageBreak/>
              <w:t>HAC</w:t>
            </w:r>
          </w:p>
        </w:tc>
        <w:tc>
          <w:tcPr>
            <w:tcW w:w="6864" w:type="dxa"/>
          </w:tcPr>
          <w:p w14:paraId="53A5BF9B" w14:textId="6C6056A6" w:rsidR="005D3F0D" w:rsidRDefault="005D3F0D" w:rsidP="005D3F0D">
            <w:pPr>
              <w:jc w:val="left"/>
            </w:pPr>
            <w:r>
              <w:t>Heteroscedasticity and Autocorrelation Consistent (Standardfehler, Newey-West)</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IFL</w:t>
            </w:r>
          </w:p>
        </w:tc>
        <w:tc>
          <w:tcPr>
            <w:tcW w:w="6864" w:type="dxa"/>
          </w:tcPr>
          <w:p w14:paraId="317C60A9" w14:textId="5149EFE2" w:rsidR="005D3F0D" w:rsidRDefault="005D3F0D" w:rsidP="005D3F0D">
            <w:pPr>
              <w:jc w:val="left"/>
            </w:pPr>
            <w:r>
              <w:t>Institut für Finance und Law</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KGV</w:t>
            </w:r>
          </w:p>
        </w:tc>
        <w:tc>
          <w:tcPr>
            <w:tcW w:w="6864" w:type="dxa"/>
          </w:tcPr>
          <w:p w14:paraId="66076384" w14:textId="3E73D048" w:rsidR="005D3F0D" w:rsidRDefault="005D3F0D" w:rsidP="005D3F0D">
            <w:pPr>
              <w:jc w:val="left"/>
            </w:pPr>
            <w:r>
              <w:t>Kurs-Gewinn-Verhältnis</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KI</w:t>
            </w:r>
          </w:p>
        </w:tc>
        <w:tc>
          <w:tcPr>
            <w:tcW w:w="6864" w:type="dxa"/>
          </w:tcPr>
          <w:p w14:paraId="3486078E" w14:textId="62E75F9D" w:rsidR="005D3F0D" w:rsidRDefault="005D3F0D" w:rsidP="005D3F0D">
            <w:pPr>
              <w:jc w:val="left"/>
            </w:pPr>
            <w:r>
              <w:t>Künstliche Intelligenz (im Hilfsmittelverzeichnis)</w:t>
            </w:r>
          </w:p>
        </w:tc>
      </w:tr>
      <w:tr w:rsidR="005D3F0D" w14:paraId="13B305B6" w14:textId="77777777" w:rsidTr="005D3F0D">
        <w:tc>
          <w:tcPr>
            <w:tcW w:w="2340" w:type="dxa"/>
          </w:tcPr>
          <w:p w14:paraId="5B656765" w14:textId="382564E0" w:rsidR="005D3F0D" w:rsidRPr="005D3F0D" w:rsidRDefault="00286580" w:rsidP="005D3F0D">
            <w:pPr>
              <w:jc w:val="left"/>
              <w:rPr>
                <w:b/>
                <w:bCs/>
              </w:rPr>
            </w:pPr>
            <w:r>
              <w:rPr>
                <w:b/>
                <w:bCs/>
              </w:rPr>
              <w:t>LOGN</w:t>
            </w:r>
          </w:p>
        </w:tc>
        <w:tc>
          <w:tcPr>
            <w:tcW w:w="6864" w:type="dxa"/>
          </w:tcPr>
          <w:p w14:paraId="5C3C631C" w14:textId="70963E0D" w:rsidR="005D3F0D" w:rsidRDefault="005D3F0D" w:rsidP="005D3F0D">
            <w:pPr>
              <w:jc w:val="left"/>
            </w:pPr>
            <w:r>
              <w:t>Logitech International (Ticker-Symbol)</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LONN</w:t>
            </w:r>
          </w:p>
        </w:tc>
        <w:tc>
          <w:tcPr>
            <w:tcW w:w="6864" w:type="dxa"/>
          </w:tcPr>
          <w:p w14:paraId="5D964CB7" w14:textId="3D034CC8" w:rsidR="005D3F0D" w:rsidRDefault="005D3F0D" w:rsidP="005D3F0D">
            <w:pPr>
              <w:jc w:val="left"/>
            </w:pPr>
            <w:r>
              <w:t>Lonza Group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LPPL</w:t>
            </w:r>
          </w:p>
        </w:tc>
        <w:tc>
          <w:tcPr>
            <w:tcW w:w="6864" w:type="dxa"/>
          </w:tcPr>
          <w:p w14:paraId="52686F01" w14:textId="71C8BCC6" w:rsidR="005D3F0D" w:rsidRDefault="005D3F0D" w:rsidP="005D3F0D">
            <w:pPr>
              <w:jc w:val="left"/>
            </w:pPr>
            <w:r>
              <w:t>Log-Periodic Power Law</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MaxDD</w:t>
            </w:r>
          </w:p>
        </w:tc>
        <w:tc>
          <w:tcPr>
            <w:tcW w:w="6864" w:type="dxa"/>
          </w:tcPr>
          <w:p w14:paraId="55CFF10E" w14:textId="0E23CBEF" w:rsidR="005D3F0D" w:rsidRDefault="005D3F0D" w:rsidP="005D3F0D">
            <w:pPr>
              <w:jc w:val="left"/>
            </w:pPr>
            <w:r>
              <w:t>Maximum Drawdown (Maximaler Kapitalverlust)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MC</w:t>
            </w:r>
          </w:p>
        </w:tc>
        <w:tc>
          <w:tcPr>
            <w:tcW w:w="6864" w:type="dxa"/>
          </w:tcPr>
          <w:p w14:paraId="0310101C" w14:textId="7EBF21FB" w:rsidR="005D3F0D" w:rsidRDefault="005D3F0D" w:rsidP="005D3F0D">
            <w:pPr>
              <w:jc w:val="left"/>
            </w:pPr>
            <w:r>
              <w:t>Monte Carlo (Simulationsverfahren)</w:t>
            </w:r>
          </w:p>
        </w:tc>
      </w:tr>
      <w:tr w:rsidR="005D3F0D" w14:paraId="384CD6AA" w14:textId="77777777" w:rsidTr="005D3F0D">
        <w:tc>
          <w:tcPr>
            <w:tcW w:w="2340" w:type="dxa"/>
          </w:tcPr>
          <w:p w14:paraId="6B9ED5E7" w14:textId="77777777" w:rsidR="005D3F0D" w:rsidRPr="003A55F9" w:rsidRDefault="005D3F0D" w:rsidP="005D3F0D">
            <w:pPr>
              <w:jc w:val="left"/>
              <w:rPr>
                <w:b/>
                <w:bCs/>
              </w:rPr>
            </w:pPr>
            <w:r>
              <w:rPr>
                <w:b/>
                <w:bCs/>
              </w:rPr>
              <w:t>MC-SE</w:t>
            </w:r>
          </w:p>
        </w:tc>
        <w:tc>
          <w:tcPr>
            <w:tcW w:w="6864" w:type="dxa"/>
          </w:tcPr>
          <w:p w14:paraId="4780EE90" w14:textId="77777777" w:rsidR="005D3F0D" w:rsidRDefault="005D3F0D" w:rsidP="005D3F0D">
            <w:pPr>
              <w:jc w:val="left"/>
            </w:pPr>
            <w:r>
              <w:t>Monte-Carlo-Standardfehler</w:t>
            </w:r>
          </w:p>
        </w:tc>
      </w:tr>
      <w:tr w:rsidR="005D3F0D" w14:paraId="1068C3F1" w14:textId="77777777" w:rsidTr="005D3F0D">
        <w:tc>
          <w:tcPr>
            <w:tcW w:w="2340" w:type="dxa"/>
          </w:tcPr>
          <w:p w14:paraId="76D4151E" w14:textId="77777777" w:rsidR="005D3F0D" w:rsidRPr="003A55F9" w:rsidRDefault="005D3F0D" w:rsidP="005D3F0D">
            <w:pPr>
              <w:jc w:val="left"/>
              <w:rPr>
                <w:b/>
                <w:bCs/>
              </w:rPr>
            </w:pPr>
            <w:r>
              <w:rPr>
                <w:b/>
                <w:bCs/>
              </w:rPr>
              <w:t>MDD</w:t>
            </w:r>
          </w:p>
        </w:tc>
        <w:tc>
          <w:tcPr>
            <w:tcW w:w="6864" w:type="dxa"/>
          </w:tcPr>
          <w:p w14:paraId="413B062D" w14:textId="77777777" w:rsidR="005D3F0D" w:rsidRDefault="005D3F0D" w:rsidP="005D3F0D">
            <w:pPr>
              <w:jc w:val="left"/>
            </w:pPr>
            <w:r>
              <w:t>Maximum Drawdown (synonym zu MaxDD)</w:t>
            </w:r>
          </w:p>
        </w:tc>
      </w:tr>
      <w:tr w:rsidR="005D3F0D" w14:paraId="39AD3475" w14:textId="77777777" w:rsidTr="005D3F0D">
        <w:tc>
          <w:tcPr>
            <w:tcW w:w="2340" w:type="dxa"/>
          </w:tcPr>
          <w:p w14:paraId="1E31B4FE" w14:textId="77777777" w:rsidR="005D3F0D" w:rsidRPr="003A55F9" w:rsidRDefault="005D3F0D" w:rsidP="005D3F0D">
            <w:pPr>
              <w:jc w:val="left"/>
              <w:rPr>
                <w:b/>
                <w:bCs/>
              </w:rPr>
            </w:pPr>
            <w:r>
              <w:rPr>
                <w:b/>
                <w:bCs/>
              </w:rPr>
              <w:t>NASDAQ</w:t>
            </w:r>
          </w:p>
        </w:tc>
        <w:tc>
          <w:tcPr>
            <w:tcW w:w="6864" w:type="dxa"/>
          </w:tcPr>
          <w:p w14:paraId="73F92FD7" w14:textId="77777777" w:rsidR="005D3F0D" w:rsidRDefault="005D3F0D" w:rsidP="005D3F0D">
            <w:pPr>
              <w:jc w:val="left"/>
            </w:pPr>
            <w:r>
              <w:t>National Association of Securities Dealers Automated Quotations</w:t>
            </w:r>
          </w:p>
        </w:tc>
      </w:tr>
      <w:tr w:rsidR="005D3F0D" w14:paraId="0E23B216" w14:textId="77777777" w:rsidTr="005D3F0D">
        <w:tc>
          <w:tcPr>
            <w:tcW w:w="2340" w:type="dxa"/>
          </w:tcPr>
          <w:p w14:paraId="44C22EF7" w14:textId="77777777" w:rsidR="005D3F0D" w:rsidRPr="003A55F9" w:rsidRDefault="005D3F0D" w:rsidP="005D3F0D">
            <w:pPr>
              <w:jc w:val="left"/>
              <w:rPr>
                <w:b/>
                <w:bCs/>
              </w:rPr>
            </w:pPr>
            <w:r>
              <w:rPr>
                <w:b/>
                <w:bCs/>
              </w:rPr>
              <w:t>OLS</w:t>
            </w:r>
          </w:p>
        </w:tc>
        <w:tc>
          <w:tcPr>
            <w:tcW w:w="6864" w:type="dxa"/>
          </w:tcPr>
          <w:p w14:paraId="689097FD" w14:textId="77777777" w:rsidR="005D3F0D" w:rsidRDefault="005D3F0D" w:rsidP="005D3F0D">
            <w:pPr>
              <w:jc w:val="left"/>
            </w:pPr>
            <w:r>
              <w:t>Ordinary Least Squares (Kleinste-Quadrate-Schätzung)</w:t>
            </w:r>
          </w:p>
        </w:tc>
      </w:tr>
      <w:tr w:rsidR="005D3F0D" w14:paraId="1C0E29AB" w14:textId="77777777" w:rsidTr="005D3F0D">
        <w:tc>
          <w:tcPr>
            <w:tcW w:w="2340" w:type="dxa"/>
          </w:tcPr>
          <w:p w14:paraId="0A739C0F" w14:textId="77777777" w:rsidR="005D3F0D" w:rsidRPr="003A55F9" w:rsidRDefault="005D3F0D" w:rsidP="005D3F0D">
            <w:pPr>
              <w:jc w:val="left"/>
              <w:rPr>
                <w:b/>
                <w:bCs/>
              </w:rPr>
            </w:pPr>
            <w:r>
              <w:rPr>
                <w:b/>
                <w:bCs/>
              </w:rPr>
              <w:t>OST</w:t>
            </w:r>
          </w:p>
        </w:tc>
        <w:tc>
          <w:tcPr>
            <w:tcW w:w="6864" w:type="dxa"/>
          </w:tcPr>
          <w:p w14:paraId="1036A96B" w14:textId="77777777" w:rsidR="005D3F0D" w:rsidRDefault="005D3F0D" w:rsidP="005D3F0D">
            <w:pPr>
              <w:jc w:val="left"/>
            </w:pPr>
            <w:r>
              <w:t>Ostschweizer Fachhochschule</w:t>
            </w:r>
          </w:p>
        </w:tc>
      </w:tr>
      <w:tr w:rsidR="005D3F0D" w14:paraId="02F330D9" w14:textId="77777777" w:rsidTr="005D3F0D">
        <w:tc>
          <w:tcPr>
            <w:tcW w:w="2340" w:type="dxa"/>
          </w:tcPr>
          <w:p w14:paraId="666136A6" w14:textId="77777777" w:rsidR="005D3F0D" w:rsidRPr="003A55F9" w:rsidRDefault="005D3F0D" w:rsidP="005D3F0D">
            <w:pPr>
              <w:jc w:val="left"/>
              <w:rPr>
                <w:b/>
                <w:bCs/>
              </w:rPr>
            </w:pPr>
            <w:r>
              <w:rPr>
                <w:b/>
                <w:bCs/>
              </w:rPr>
              <w:t>PGHN</w:t>
            </w:r>
          </w:p>
        </w:tc>
        <w:tc>
          <w:tcPr>
            <w:tcW w:w="6864" w:type="dxa"/>
          </w:tcPr>
          <w:p w14:paraId="3A7A5A9E" w14:textId="77777777" w:rsidR="005D3F0D" w:rsidRDefault="005D3F0D" w:rsidP="005D3F0D">
            <w:pPr>
              <w:jc w:val="left"/>
            </w:pPr>
            <w:r>
              <w:t>Partners Group Holding (Ticker-Symbol)</w:t>
            </w:r>
          </w:p>
        </w:tc>
      </w:tr>
      <w:tr w:rsidR="005D3F0D" w14:paraId="01890217" w14:textId="77777777" w:rsidTr="005D3F0D">
        <w:tc>
          <w:tcPr>
            <w:tcW w:w="2340" w:type="dxa"/>
          </w:tcPr>
          <w:p w14:paraId="46A5B951" w14:textId="77777777" w:rsidR="005D3F0D" w:rsidRPr="003A55F9" w:rsidRDefault="005D3F0D" w:rsidP="005D3F0D">
            <w:pPr>
              <w:jc w:val="left"/>
              <w:rPr>
                <w:b/>
                <w:bCs/>
              </w:rPr>
            </w:pPr>
            <w:r>
              <w:rPr>
                <w:b/>
                <w:bCs/>
              </w:rPr>
              <w:t>pp</w:t>
            </w:r>
          </w:p>
        </w:tc>
        <w:tc>
          <w:tcPr>
            <w:tcW w:w="6864" w:type="dxa"/>
          </w:tcPr>
          <w:p w14:paraId="5EC33304" w14:textId="77777777" w:rsidR="005D3F0D" w:rsidRDefault="005D3F0D" w:rsidP="005D3F0D">
            <w:pPr>
              <w:jc w:val="left"/>
            </w:pPr>
            <w:r>
              <w:t>Prozentpunkte</w:t>
            </w:r>
          </w:p>
        </w:tc>
      </w:tr>
      <w:tr w:rsidR="005D3F0D" w14:paraId="083657A8" w14:textId="77777777" w:rsidTr="005D3F0D">
        <w:tc>
          <w:tcPr>
            <w:tcW w:w="2340" w:type="dxa"/>
          </w:tcPr>
          <w:p w14:paraId="0021D379" w14:textId="77777777" w:rsidR="005D3F0D" w:rsidRPr="003A55F9" w:rsidRDefault="005D3F0D" w:rsidP="005D3F0D">
            <w:pPr>
              <w:jc w:val="left"/>
              <w:rPr>
                <w:b/>
                <w:bCs/>
              </w:rPr>
            </w:pPr>
            <w:r>
              <w:rPr>
                <w:b/>
                <w:bCs/>
              </w:rPr>
              <w:t>PSY</w:t>
            </w:r>
          </w:p>
        </w:tc>
        <w:tc>
          <w:tcPr>
            <w:tcW w:w="6864" w:type="dxa"/>
          </w:tcPr>
          <w:p w14:paraId="2CBA7564" w14:textId="77777777" w:rsidR="005D3F0D" w:rsidRDefault="005D3F0D" w:rsidP="005D3F0D">
            <w:pPr>
              <w:jc w:val="left"/>
            </w:pPr>
            <w:r>
              <w:t>Phillips-Shi-Yu (Blasendetektions-Verfahren)</w:t>
            </w:r>
          </w:p>
        </w:tc>
      </w:tr>
      <w:tr w:rsidR="005D3F0D" w14:paraId="7C5D811D" w14:textId="77777777" w:rsidTr="005D3F0D">
        <w:tc>
          <w:tcPr>
            <w:tcW w:w="2340" w:type="dxa"/>
          </w:tcPr>
          <w:p w14:paraId="27CD7956" w14:textId="77777777" w:rsidR="005D3F0D" w:rsidRPr="003A55F9" w:rsidRDefault="005D3F0D" w:rsidP="005D3F0D">
            <w:pPr>
              <w:jc w:val="left"/>
              <w:rPr>
                <w:b/>
                <w:bCs/>
              </w:rPr>
            </w:pPr>
            <w:r>
              <w:rPr>
                <w:b/>
                <w:bCs/>
              </w:rPr>
              <w:t>SADF</w:t>
            </w:r>
          </w:p>
        </w:tc>
        <w:tc>
          <w:tcPr>
            <w:tcW w:w="6864" w:type="dxa"/>
          </w:tcPr>
          <w:p w14:paraId="10B49FA7" w14:textId="77777777" w:rsidR="005D3F0D" w:rsidRDefault="005D3F0D" w:rsidP="005D3F0D">
            <w:pPr>
              <w:jc w:val="left"/>
            </w:pPr>
            <w:r>
              <w:t>Supremum Augmented Dickey-Fuller</w:t>
            </w:r>
          </w:p>
        </w:tc>
      </w:tr>
      <w:tr w:rsidR="005D3F0D" w14:paraId="5E140FF0" w14:textId="77777777" w:rsidTr="005D3F0D">
        <w:tc>
          <w:tcPr>
            <w:tcW w:w="2340" w:type="dxa"/>
          </w:tcPr>
          <w:p w14:paraId="2A2F1F43" w14:textId="77777777" w:rsidR="005D3F0D" w:rsidRPr="003A55F9" w:rsidRDefault="005D3F0D" w:rsidP="005D3F0D">
            <w:pPr>
              <w:jc w:val="left"/>
              <w:rPr>
                <w:b/>
                <w:bCs/>
              </w:rPr>
            </w:pPr>
            <w:r>
              <w:rPr>
                <w:b/>
                <w:bCs/>
              </w:rPr>
              <w:t>SE</w:t>
            </w:r>
          </w:p>
        </w:tc>
        <w:tc>
          <w:tcPr>
            <w:tcW w:w="6864" w:type="dxa"/>
          </w:tcPr>
          <w:p w14:paraId="6CCF0C34" w14:textId="77777777" w:rsidR="005D3F0D" w:rsidRDefault="005D3F0D" w:rsidP="005D3F0D">
            <w:pPr>
              <w:jc w:val="left"/>
            </w:pPr>
            <w:r>
              <w:t>Standard Error / Standardfehler</w:t>
            </w:r>
          </w:p>
        </w:tc>
      </w:tr>
      <w:tr w:rsidR="005D3F0D" w14:paraId="2554C433" w14:textId="77777777" w:rsidTr="005D3F0D">
        <w:tc>
          <w:tcPr>
            <w:tcW w:w="2340" w:type="dxa"/>
          </w:tcPr>
          <w:p w14:paraId="42B45D81" w14:textId="77777777" w:rsidR="005D3F0D" w:rsidRPr="003A55F9" w:rsidRDefault="005D3F0D" w:rsidP="005D3F0D">
            <w:pPr>
              <w:jc w:val="left"/>
              <w:rPr>
                <w:b/>
                <w:bCs/>
              </w:rPr>
            </w:pPr>
            <w:r>
              <w:rPr>
                <w:b/>
                <w:bCs/>
              </w:rPr>
              <w:t>SIKA</w:t>
            </w:r>
          </w:p>
        </w:tc>
        <w:tc>
          <w:tcPr>
            <w:tcW w:w="6864" w:type="dxa"/>
          </w:tcPr>
          <w:p w14:paraId="1C73E63F" w14:textId="77777777" w:rsidR="005D3F0D" w:rsidRDefault="005D3F0D" w:rsidP="005D3F0D">
            <w:pPr>
              <w:jc w:val="left"/>
            </w:pPr>
            <w:r>
              <w:t>Sika AG (Ticker-Symbol)</w:t>
            </w:r>
          </w:p>
        </w:tc>
      </w:tr>
      <w:tr w:rsidR="005D3F0D" w14:paraId="2BC6EFAD" w14:textId="77777777" w:rsidTr="005D3F0D">
        <w:tc>
          <w:tcPr>
            <w:tcW w:w="2340" w:type="dxa"/>
          </w:tcPr>
          <w:p w14:paraId="3FF78CAE" w14:textId="77777777" w:rsidR="005D3F0D" w:rsidRPr="003A55F9" w:rsidRDefault="005D3F0D" w:rsidP="005D3F0D">
            <w:pPr>
              <w:jc w:val="left"/>
              <w:rPr>
                <w:b/>
                <w:bCs/>
              </w:rPr>
            </w:pPr>
            <w:r>
              <w:rPr>
                <w:b/>
                <w:bCs/>
              </w:rPr>
              <w:t>SLI</w:t>
            </w:r>
          </w:p>
        </w:tc>
        <w:tc>
          <w:tcPr>
            <w:tcW w:w="6864" w:type="dxa"/>
          </w:tcPr>
          <w:p w14:paraId="16DCB2E0" w14:textId="77777777" w:rsidR="005D3F0D" w:rsidRDefault="005D3F0D" w:rsidP="005D3F0D">
            <w:pPr>
              <w:jc w:val="left"/>
            </w:pPr>
            <w:r>
              <w:t>Swiss Leader Index</w:t>
            </w:r>
          </w:p>
        </w:tc>
      </w:tr>
      <w:tr w:rsidR="005D3F0D" w14:paraId="559FA816" w14:textId="77777777" w:rsidTr="005D3F0D">
        <w:tc>
          <w:tcPr>
            <w:tcW w:w="2340" w:type="dxa"/>
          </w:tcPr>
          <w:p w14:paraId="09E59173" w14:textId="77777777" w:rsidR="005D3F0D" w:rsidRPr="003A55F9" w:rsidRDefault="005D3F0D" w:rsidP="005D3F0D">
            <w:pPr>
              <w:jc w:val="left"/>
              <w:rPr>
                <w:b/>
                <w:bCs/>
              </w:rPr>
            </w:pPr>
            <w:r>
              <w:rPr>
                <w:b/>
                <w:bCs/>
              </w:rPr>
              <w:lastRenderedPageBreak/>
              <w:t>SMA</w:t>
            </w:r>
          </w:p>
        </w:tc>
        <w:tc>
          <w:tcPr>
            <w:tcW w:w="6864" w:type="dxa"/>
          </w:tcPr>
          <w:p w14:paraId="470994D6" w14:textId="77777777" w:rsidR="005D3F0D" w:rsidRDefault="005D3F0D" w:rsidP="005D3F0D">
            <w:pPr>
              <w:jc w:val="left"/>
            </w:pPr>
            <w:r>
              <w:t>Simple Moving Average (Einfacher gleitender Durchschnitt)</w:t>
            </w:r>
          </w:p>
        </w:tc>
      </w:tr>
      <w:tr w:rsidR="005D3F0D" w14:paraId="2D77BD3C" w14:textId="77777777" w:rsidTr="005D3F0D">
        <w:tc>
          <w:tcPr>
            <w:tcW w:w="2340" w:type="dxa"/>
          </w:tcPr>
          <w:p w14:paraId="690045BB" w14:textId="77777777" w:rsidR="005D3F0D" w:rsidRPr="003A55F9" w:rsidRDefault="005D3F0D" w:rsidP="005D3F0D">
            <w:pPr>
              <w:jc w:val="left"/>
              <w:rPr>
                <w:b/>
                <w:bCs/>
              </w:rPr>
            </w:pPr>
            <w:r>
              <w:rPr>
                <w:b/>
                <w:bCs/>
              </w:rPr>
              <w:t>SMA20</w:t>
            </w:r>
          </w:p>
        </w:tc>
        <w:tc>
          <w:tcPr>
            <w:tcW w:w="6864" w:type="dxa"/>
          </w:tcPr>
          <w:p w14:paraId="4A800CCC" w14:textId="77777777" w:rsidR="005D3F0D" w:rsidRDefault="005D3F0D" w:rsidP="005D3F0D">
            <w:pPr>
              <w:jc w:val="left"/>
            </w:pPr>
            <w:r>
              <w:t>Simple Moving Average, 20-Tage-Periode</w:t>
            </w:r>
          </w:p>
        </w:tc>
      </w:tr>
      <w:tr w:rsidR="005D3F0D" w14:paraId="27622E5A" w14:textId="77777777" w:rsidTr="005D3F0D">
        <w:tc>
          <w:tcPr>
            <w:tcW w:w="2340" w:type="dxa"/>
          </w:tcPr>
          <w:p w14:paraId="65A37971" w14:textId="77777777" w:rsidR="005D3F0D" w:rsidRPr="003A55F9" w:rsidRDefault="005D3F0D" w:rsidP="005D3F0D">
            <w:pPr>
              <w:jc w:val="left"/>
              <w:rPr>
                <w:b/>
                <w:bCs/>
              </w:rPr>
            </w:pPr>
            <w:r>
              <w:rPr>
                <w:b/>
                <w:bCs/>
              </w:rPr>
              <w:t>SMI</w:t>
            </w:r>
          </w:p>
        </w:tc>
        <w:tc>
          <w:tcPr>
            <w:tcW w:w="6864" w:type="dxa"/>
          </w:tcPr>
          <w:p w14:paraId="4B76CB4D" w14:textId="77777777" w:rsidR="005D3F0D" w:rsidRDefault="005D3F0D" w:rsidP="005D3F0D">
            <w:pPr>
              <w:jc w:val="left"/>
            </w:pPr>
            <w:r>
              <w:t>Swiss Market Index</w:t>
            </w:r>
          </w:p>
        </w:tc>
      </w:tr>
      <w:tr w:rsidR="005D3F0D" w14:paraId="33A2A8F7" w14:textId="77777777" w:rsidTr="005D3F0D">
        <w:tc>
          <w:tcPr>
            <w:tcW w:w="2340" w:type="dxa"/>
          </w:tcPr>
          <w:p w14:paraId="7C990351" w14:textId="77777777" w:rsidR="005D3F0D" w:rsidRPr="003A55F9" w:rsidRDefault="005D3F0D" w:rsidP="005D3F0D">
            <w:pPr>
              <w:jc w:val="left"/>
              <w:rPr>
                <w:b/>
                <w:bCs/>
              </w:rPr>
            </w:pPr>
            <w:r>
              <w:rPr>
                <w:b/>
                <w:bCs/>
              </w:rPr>
              <w:t>TR</w:t>
            </w:r>
          </w:p>
        </w:tc>
        <w:tc>
          <w:tcPr>
            <w:tcW w:w="6864" w:type="dxa"/>
          </w:tcPr>
          <w:p w14:paraId="1521255A" w14:textId="77777777" w:rsidR="005D3F0D" w:rsidRDefault="005D3F0D" w:rsidP="005D3F0D">
            <w:pPr>
              <w:jc w:val="left"/>
            </w:pPr>
            <w:r>
              <w:t>Total Return (kumulative Nettorendite)</w:t>
            </w:r>
          </w:p>
        </w:tc>
      </w:tr>
      <w:tr w:rsidR="005D3F0D" w14:paraId="2489568D" w14:textId="77777777" w:rsidTr="005D3F0D">
        <w:tc>
          <w:tcPr>
            <w:tcW w:w="2340" w:type="dxa"/>
          </w:tcPr>
          <w:p w14:paraId="0238D936" w14:textId="77777777" w:rsidR="005D3F0D" w:rsidRPr="003A55F9" w:rsidRDefault="005D3F0D" w:rsidP="005D3F0D">
            <w:pPr>
              <w:jc w:val="left"/>
              <w:rPr>
                <w:b/>
                <w:bCs/>
              </w:rPr>
            </w:pPr>
            <w:r>
              <w:rPr>
                <w:b/>
                <w:bCs/>
              </w:rPr>
              <w:t>V3, V5, V6, V7</w:t>
            </w:r>
          </w:p>
        </w:tc>
        <w:tc>
          <w:tcPr>
            <w:tcW w:w="6864" w:type="dxa"/>
          </w:tcPr>
          <w:p w14:paraId="59F1990C" w14:textId="77777777" w:rsidR="005D3F0D" w:rsidRDefault="005D3F0D" w:rsidP="005D3F0D">
            <w:pPr>
              <w:jc w:val="left"/>
            </w:pPr>
            <w:r>
              <w:t>Iterationsstufen der entwickelten Handelsstrategie</w:t>
            </w:r>
          </w:p>
        </w:tc>
      </w:tr>
      <w:tr w:rsidR="005D3F0D" w14:paraId="6463920A" w14:textId="77777777" w:rsidTr="005D3F0D">
        <w:tc>
          <w:tcPr>
            <w:tcW w:w="2340" w:type="dxa"/>
          </w:tcPr>
          <w:p w14:paraId="43CA2D00" w14:textId="77777777" w:rsidR="005D3F0D" w:rsidRPr="003A55F9" w:rsidRDefault="005D3F0D" w:rsidP="005D3F0D">
            <w:pPr>
              <w:jc w:val="left"/>
              <w:rPr>
                <w:b/>
                <w:bCs/>
              </w:rPr>
            </w:pPr>
            <w:r>
              <w:rPr>
                <w:b/>
                <w:bCs/>
              </w:rPr>
              <w:t>WB</w:t>
            </w:r>
          </w:p>
        </w:tc>
        <w:tc>
          <w:tcPr>
            <w:tcW w:w="6864" w:type="dxa"/>
          </w:tcPr>
          <w:p w14:paraId="3E2D214E" w14:textId="77777777" w:rsidR="005D3F0D" w:rsidRDefault="005D3F0D" w:rsidP="005D3F0D">
            <w:pPr>
              <w:jc w:val="left"/>
            </w:pPr>
            <w:r>
              <w:t>Wild Bootstrap (Resampling-Verfahren für kritische Werte)</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7" w:name="_Toc229904460"/>
      <w:r>
        <w:lastRenderedPageBreak/>
        <w:t>Einleitung</w:t>
      </w:r>
      <w:bookmarkEnd w:id="17"/>
    </w:p>
    <w:p w14:paraId="4498BAA8" w14:textId="77777777" w:rsidR="002879EF" w:rsidRPr="0001704E" w:rsidRDefault="00976AC9" w:rsidP="00C10D50">
      <w:pPr>
        <w:pStyle w:val="Heading2"/>
      </w:pPr>
      <w:bookmarkStart w:id="18" w:name="_Toc229904461"/>
      <w:r>
        <w:t>Unternehmen/Institution</w:t>
      </w:r>
      <w:bookmarkEnd w:id="18"/>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9" w:name="_Toc229904462"/>
      <w:r>
        <w:t>Ausgangslage</w:t>
      </w:r>
      <w:bookmarkEnd w:id="19"/>
    </w:p>
    <w:p w14:paraId="6093535F" w14:textId="77547DD6" w:rsidR="008B02E9" w:rsidRPr="0001704E" w:rsidRDefault="008B02E9" w:rsidP="008B02E9">
      <w:r>
        <w:t>Die Finanzmärkte neigen immer wieder zu spekulativen Blasen, bei denen sich die Preise stark und dauerhaft von ihren fundamentalen Werten lösen. Für rationale Investor:innen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Die klassische Markteffizienzhypothese legt nahe, Fehlbewertungen sofort durch Leerverkäufe (Short-Selling) zu korrigieren. Neuere Ansätze der Behavioral Finance argumentieren jedoch, dass es rational sein kann, eine Blase zeitweise zu «reiten» («Riding Bubbles») (Abreu &amp; Brunnermeier, 2003). Der Grund ist das sogenannte Synchronisationsrisiko: Einzelne Marktteilnehmende können den Markt nicht allein korrigieren. Sie müssen warten, bis genügend andere Akteur:innen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(Log-Periodic Power Law) sind oft schwer handhabbar. Sie haben viele Parameter, was oft dazu führt, dass das Modell zwar vergangene Daten gut erklärt, aber bei der Vorhersage scheitert (Overfitting) (Johansen et al., 2000).</w:t>
      </w:r>
    </w:p>
    <w:p w14:paraId="5DB7FDD5" w14:textId="76A62034" w:rsidR="00A67CC3" w:rsidRPr="0001704E" w:rsidRDefault="008B02E9" w:rsidP="008B02E9">
      <w:r>
        <w:t>Für das Risikomanagement entstehen daraus zwei Gefahren. Falsche Alarme (False Positives) führen dazu, dass volatile Marktphasen fälschlicherweise als Blasen erkannt werden (Milunovich et al., 2019). Umgekehrt kann das Modell den kritischen Übergang von einer ruhigen in eine explosive Phase zu spät erkennen und den richtigen Zeitpunkt für den Ein- oder Ausstieg verpassen (Brooks &amp; Katsaris,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Bubble Detection System (Erkennung): Die Basis bildet ein Algorithmus, der spekulative Phasen in Echtzeit erkennt, ohne auf Zukunftsdaten zurückzugreifen. Anstatt sich auf Meinungen zu verlassen, werden statistische Verfahren genutzt. Hierbei kommt der Phillips-Shi-Yu (PSY) Test zum Einsatz. Dieser gilt als aktueller Standard, um Start- und Endpunkte von Blasen zu datieren (Milunovich et al., 2019). Wichtig ist dabei, nicht nur «Ja/Nein»-Signale zu erzeugen, sondern die Wahrscheinlichkeit eines Wechsels in eine explosive Marktphase zu messen (Brooks &amp; Katsaris,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(«Run-up») mitzunehmen. Studien deuten darauf hin, dass eine solche «Riding Bubble»-Strategie eine bessere risikoadjustierte Rendite erzielen kann als passive Strategien (Guenster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(«False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Marktexposure systematisch reduziert, um das Kapital vor dem kritischen Regime-Wechsel (dem Crash) zu schützen.</w:t>
      </w:r>
    </w:p>
    <w:p w14:paraId="2D593C6A" w14:textId="630AA350" w:rsidR="00140423" w:rsidRPr="0001704E" w:rsidRDefault="008B02E9" w:rsidP="00140423">
      <w:pPr>
        <w:pStyle w:val="Heading3"/>
      </w:pPr>
      <w:bookmarkStart w:id="20" w:name="_Toc229904463"/>
      <w:r>
        <w:t>Fokus der Untersuchung</w:t>
      </w:r>
      <w:bookmarkEnd w:id="20"/>
    </w:p>
    <w:p w14:paraId="68776B14" w14:textId="2741D4B3" w:rsidR="00B7432D" w:rsidRPr="0001704E" w:rsidRDefault="008B02E9" w:rsidP="00DE41E7">
      <w:r>
        <w:t>Da spekulative Übertreibungen oft nicht den ganzen Markt, sondern nur bestimmte Sektoren betreffen (Guenster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1" w:name="_Toc229904464"/>
      <w:r>
        <w:lastRenderedPageBreak/>
        <w:t>Ziele</w:t>
      </w:r>
      <w:bookmarkEnd w:id="21"/>
    </w:p>
    <w:p w14:paraId="1040BB69" w14:textId="3DFF4041" w:rsidR="00B7432D" w:rsidRPr="0001704E" w:rsidRDefault="00B7432D" w:rsidP="00B7432D">
      <w:r>
        <w:t>Ziel der Arbeit ist es zu prüfen, ob eine systematische «Riding Bubble»-Strategie im Schweizer Markt einen Mehrwert gegenüber passiven Ansätzen bietet. Um der Problematik des «Overfitting»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2" w:name="_Toc229904465"/>
      <w:r>
        <w:t>Theoretische und Methodische Ziele</w:t>
      </w:r>
      <w:bookmarkEnd w:id="22"/>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3" w:name="_Toc229904466"/>
      <w:r>
        <w:t>Praktische und Analytische Ziele</w:t>
      </w:r>
      <w:bookmarkEnd w:id="23"/>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P2: Analyse von Risiko und Kosten. Das Risikoprofil wird anhand von Kennzahlen wie Volatilität und dem maximalen Verlust (Max Drawdown) ermittelt. Ein besonderer Fokus liegt darauf, wie stark die Transaktionskosten die Rendite beeinflussen und ob die Strategie nach Gebühren profitabel bleibt.</w:t>
      </w:r>
    </w:p>
    <w:p w14:paraId="4FFFCCD9" w14:textId="4190E7B4" w:rsidR="00976AC9" w:rsidRPr="0001704E" w:rsidRDefault="00B7432D" w:rsidP="00976AC9">
      <w:pPr>
        <w:pStyle w:val="ListParagraph"/>
        <w:numPr>
          <w:ilvl w:val="0"/>
          <w:numId w:val="29"/>
        </w:numPr>
      </w:pPr>
      <w:r>
        <w:t>P3: Vergleich mit Benchmarks. Die Ergebnisse der Strategie werden mit passiven Ansätzen (Buy &amp; Hold, Momentum) verglichen. Es soll geklärt werden, ob das aktive Management tatsächlich Vorteile bringt.</w:t>
      </w:r>
    </w:p>
    <w:p w14:paraId="12AA39F0" w14:textId="771920F2" w:rsidR="00976AC9" w:rsidRDefault="00DE41E7">
      <w:pPr>
        <w:pStyle w:val="Heading2"/>
      </w:pPr>
      <w:bookmarkStart w:id="24" w:name="_Toc229904467"/>
      <w:r>
        <w:t>Theoretischer Rahmen</w:t>
      </w:r>
      <w:bookmarkEnd w:id="24"/>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5" w:name="_Toc229904468"/>
      <w:r>
        <w:lastRenderedPageBreak/>
        <w:t>Markteffizienz, Limits of Arbitrage und das Synchronisationsrisiko</w:t>
      </w:r>
      <w:bookmarkEnd w:id="25"/>
    </w:p>
    <w:p w14:paraId="41EE90A7" w14:textId="3281CCE8" w:rsidR="00046A01" w:rsidRDefault="00046A01" w:rsidP="00046A01">
      <w:r>
        <w:t>Die Markteffizienzhypothese postuliert, dass rationale Arbitrageur:innen jede aufkommende Fehlbewertung umgehend durch Leerverkäufe (Short-Selling) korrigieren, sodass spekulative Blasen a priori nicht entstehen können. Die Theorie der «Limits of Arbitrage» von Shleifer und Vishny (1997) entkräftet dieses Postulat jedoch mit dem Hinweis, dass Leerverkäufe aufgrund von begrenztem Kapital und unberechenbaren Nachschussforderungen (Margin Calls) in irrationalen Märkten ein existenzbedrohendes Risiko für Arbitrageur:innen darstellen können.</w:t>
      </w:r>
    </w:p>
    <w:p w14:paraId="2B0D0F7E" w14:textId="3FB0A8D4" w:rsidR="00046A01" w:rsidRDefault="00046A01" w:rsidP="00046A01">
      <w:r>
        <w:t xml:space="preserve">Abreu und Brunnermeier (2003) erweitern diesen Ansatz um das sogenannte Synchronisationsrisiko: Da einzelne rationale Akteur:innen nicht über die nötige Marktmacht verfügen, um eine Blase allein durch Verkäufe zum Platzen zu bringen, müssen sie warten, bis sich eine kritische Masse an Leerverkäufer:innen koordiniert. Solange diese Koordination ausbleibt, ist es für rationale Investor:innen ökonomisch optimal, die Übertreibung auf Kosten von irrationalen Marktteilnehmenden temporär mitzureiten («Riding the Bubble»), anstatt sich frühzeitig gegen den Markttrend zu stellen. Guenster, Kole und Jacobsen (2009) untermauern diese Theorie empirisch und zeigen auf, </w:t>
      </w:r>
      <w:commentRangeStart w:id="26"/>
      <w:r>
        <w:t>dass eine solche Strategie – insbesondere wenn sie auf isolierte Industrie-Sektoren angewendet wird – eine signifikante Überrendite generieren kann.</w:t>
      </w:r>
      <w:commentRangeEnd w:id="26"/>
      <w:r>
        <w:rPr>
          <w:rStyle w:val="CommentReference"/>
        </w:rPr>
        <w:commentReference w:id="26"/>
      </w:r>
    </w:p>
    <w:p w14:paraId="056C3F0D" w14:textId="6C7FE207" w:rsidR="00046A01" w:rsidRDefault="00046A01" w:rsidP="00046A01">
      <w:pPr>
        <w:pStyle w:val="Heading3"/>
        <w:rPr>
          <w:bCs/>
        </w:rPr>
      </w:pPr>
      <w:bookmarkStart w:id="27" w:name="_Toc229904469"/>
      <w:r>
        <w:rPr>
          <w:bCs/>
        </w:rPr>
        <w:t>Statistische Detektion und Vermeidung von Overfitting</w:t>
      </w:r>
      <w:bookmarkEnd w:id="27"/>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Log-Periodic Power Law (LPPL) Modell von Johansen, Ledoit und Sornette (2000) herangezogen. Diese Modelle weisen jedoch aufgrund ihrer Vielzahl an freien Parametern eine starke Tendenz zum Overfitting auf, was ihren Nutzen für die Echtzeit-Prognose in der Praxis limitiert.</w:t>
      </w:r>
    </w:p>
    <w:p w14:paraId="03A5F099" w14:textId="6A191100" w:rsidR="00046A01" w:rsidRDefault="00046A01" w:rsidP="00046A01">
      <w:r>
        <w:t>Aus diesem Grund greift die vorliegende Arbeit auf den Phillips-Shi-Yu (PSY) Test zurück. Dieser Ansatz, der auch von Milunovich, Shi und Tan (2019) erfolgreich für das Sektor-Trading in Echtzeit validiert wurde, quantifiziert das Vorliegen von spekulativen Phasen rein statistisch und ist gezielt darauf ausgelegt, Fehlsignale («False Positives») durch Bootstrapping-Verfahren zu minimieren.</w:t>
      </w:r>
    </w:p>
    <w:p w14:paraId="1CBD1500" w14:textId="6515AF48" w:rsidR="00046A01" w:rsidRDefault="00046A01" w:rsidP="00046A01">
      <w:pPr>
        <w:pStyle w:val="Heading3"/>
        <w:rPr>
          <w:bCs/>
        </w:rPr>
      </w:pPr>
      <w:bookmarkStart w:id="28" w:name="_Toc229904470"/>
      <w:r>
        <w:rPr>
          <w:bCs/>
        </w:rPr>
        <w:t>Regime-Wechsel und Exit-Logik</w:t>
      </w:r>
      <w:bookmarkEnd w:id="28"/>
    </w:p>
    <w:p w14:paraId="5ADDE13D" w14:textId="057AF254" w:rsidR="00046A01" w:rsidRPr="00046A01" w:rsidRDefault="00046A01" w:rsidP="00046A01">
      <w:r>
        <w:t xml:space="preserve">Wie Johansen, Ledoit und Sornette (2000) treffend zusammenfassen, bauen sich Blasen langsam auf, kollabieren jedoch schnell («Bubbles are slow, crashes are fast»). Dies erfordert für die Handelsstrategie einen präzisen, algorithmischen Exit-Mechanismus. Das theoretische </w:t>
      </w:r>
      <w:r>
        <w:lastRenderedPageBreak/>
        <w:t>Fundament hierfür liefert das Modell von Brooks und Katsaris (2005), welches den Markt nicht nur in eine fundamentale und eine explosive Phase unterteilt, sondern ein drittes, kollabierendes Regime (Three-Regime-Model) integriert. Um den Übergang in diese finale Panikphase rechtzeitig zu antizipieren, stützt sich die vorliegende Arbeit nicht auf fundamentale oder volumensbasierte Indikatoren, sondern auf das Überschreiten extremer statistischer Schwellenwerte. Diese dynamische Quantils-Logik dient als objektiver Indikator, um die schützende Liquidation der Position (De-Risking) vor dem eigentlichen Crash rechtzeitig einzuleiten.</w:t>
      </w:r>
    </w:p>
    <w:p w14:paraId="277D6343" w14:textId="28B9C84B" w:rsidR="00976AC9" w:rsidRPr="0001704E" w:rsidRDefault="00DE41E7" w:rsidP="00976AC9">
      <w:pPr>
        <w:pStyle w:val="Heading2"/>
      </w:pPr>
      <w:bookmarkStart w:id="29" w:name="_Toc229904471"/>
      <w:r>
        <w:t>Methodisches Vorgehen</w:t>
      </w:r>
      <w:bookmarkEnd w:id="29"/>
    </w:p>
    <w:p w14:paraId="1274D027" w14:textId="3131502E" w:rsidR="009B4C87" w:rsidRPr="0001704E" w:rsidRDefault="009B4C87" w:rsidP="009B4C87">
      <w:r>
        <w:t xml:space="preserve">Die Arbeit folgt einem quantitativen Ansatz in drei Schritten. Dieser Aufbau soll verhindern, dass die Strategie nur zufällig auf vergangene Daten passt («Overfitting»). </w:t>
      </w:r>
    </w:p>
    <w:p w14:paraId="4517CB7A" w14:textId="77777777" w:rsidR="007F284C" w:rsidRPr="0001704E" w:rsidRDefault="009B4C87" w:rsidP="002D6F07">
      <w:pPr>
        <w:pStyle w:val="Heading3"/>
      </w:pPr>
      <w:bookmarkStart w:id="30" w:name="_Toc229904472"/>
      <w:r>
        <w:t>Datenbasis und Validierung:</w:t>
      </w:r>
      <w:bookmarkEnd w:id="30"/>
      <w:r>
        <w:t xml:space="preserve"> </w:t>
      </w:r>
    </w:p>
    <w:p w14:paraId="1EB9C45F" w14:textId="16869BE8" w:rsidR="009B4C87" w:rsidRPr="0001704E" w:rsidRDefault="009B4C87" w:rsidP="009B4C87">
      <w:r>
        <w:t>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False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(«Overfitting»)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(«Net-of-Fees»).</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1"/>
      <w:commentRangeEnd w:id="31"/>
      <w:r>
        <w:rPr>
          <w:rStyle w:val="CommentReference"/>
          <w:sz w:val="22"/>
          <w:szCs w:val="20"/>
        </w:rPr>
        <w:commentReference w:id="31"/>
      </w:r>
    </w:p>
    <w:p w14:paraId="0CC79F61" w14:textId="095F2237" w:rsidR="00975A6F" w:rsidRDefault="002879EF" w:rsidP="00857D4A">
      <w:pPr>
        <w:pStyle w:val="Heading1"/>
      </w:pPr>
      <w:bookmarkStart w:id="32" w:name="_Ref13550133"/>
      <w:bookmarkStart w:id="33" w:name="_Toc229904473"/>
      <w:r>
        <w:lastRenderedPageBreak/>
        <w:t>T</w:t>
      </w:r>
      <w:bookmarkEnd w:id="32"/>
      <w:r>
        <w:t>heoretische Grundlagen</w:t>
      </w:r>
      <w:bookmarkEnd w:id="33"/>
    </w:p>
    <w:p w14:paraId="18B3E025" w14:textId="2ECC6846" w:rsidR="00857D4A" w:rsidRPr="00857D4A" w:rsidRDefault="00857D4A" w:rsidP="00857D4A">
      <w:r>
        <w:t>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«Riding the Bubble»-Strategie bildet.</w:t>
      </w:r>
    </w:p>
    <w:p w14:paraId="34D5BC90" w14:textId="54DDBCB8" w:rsidR="00857D4A" w:rsidRDefault="00857D4A" w:rsidP="00857D4A">
      <w:pPr>
        <w:pStyle w:val="Heading2"/>
        <w:rPr>
          <w:rStyle w:val="ng-star-inserted"/>
          <w:lang w:val="en-US"/>
        </w:rPr>
      </w:pPr>
      <w:bookmarkStart w:id="34" w:name="_Toc229904474"/>
      <w:r>
        <w:rPr>
          <w:rStyle w:val="ng-star-inserted"/>
          <w:lang w:val="en-US"/>
        </w:rPr>
        <w:t>Markteffizienzhypothese und Limits of Arbitrage</w:t>
      </w:r>
      <w:bookmarkEnd w:id="34"/>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5" w:name="_Toc229904475"/>
      <w:r>
        <w:t>Das Paradigma der effizienten Märkte</w:t>
      </w:r>
      <w:bookmarkEnd w:id="35"/>
    </w:p>
    <w:p w14:paraId="5849E470" w14:textId="5798B544" w:rsidR="003C583F" w:rsidRDefault="0054006B" w:rsidP="000A273C">
      <w:r>
        <w:t>Die klassische Finanztheorie stützt sich massgeblich auf die Markteffizienzhypothese (Efficient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(«Noise Traders») entstehen, sofort durch rationale Arbitrageur:innen korrigiert werden. Sobald der Preis einer Aktie ihren fundamentalen Wert übersteigt, würden rationale Akteur:innen das Wertpapier leerverkaufen (Shorting), wodurch das Angebot steigt und der Preis umgehend auf seinen Fundamentalwert zurückfällt.</w:t>
      </w:r>
    </w:p>
    <w:p w14:paraId="465A3803" w14:textId="012908E6" w:rsidR="00300303" w:rsidRDefault="000C6100" w:rsidP="000C6100">
      <w:pPr>
        <w:pStyle w:val="Heading3"/>
      </w:pPr>
      <w:bookmarkStart w:id="36" w:name="_Toc229904476"/>
      <w:r>
        <w:t>Der verhaltensökonomische Ansatz (Behavioral Finance)</w:t>
      </w:r>
      <w:bookmarkEnd w:id="36"/>
    </w:p>
    <w:p w14:paraId="3223AC60" w14:textId="2CDD1476" w:rsidR="0078225E" w:rsidRPr="005F521A" w:rsidRDefault="0078225E" w:rsidP="0078225E">
      <w:r>
        <w:t xml:space="preserve">Die Praxis 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(«Irrational Exuberance») getrieben, die sich zunehmend von fundamentalen Kennzahlen entkoppeln.</w:t>
      </w:r>
    </w:p>
    <w:p w14:paraId="248B5AF5" w14:textId="611AEDA4" w:rsidR="000C6100" w:rsidRPr="005F521A" w:rsidRDefault="0078225E" w:rsidP="0078225E">
      <w:r>
        <w:t>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natürlich auftretenden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7" w:name="_Toc229904477"/>
      <w:r>
        <w:t>«Limits of Arbitrage» und das Synchronisationsrisiko</w:t>
      </w:r>
      <w:bookmarkEnd w:id="37"/>
    </w:p>
    <w:p w14:paraId="342EE05B" w14:textId="49F9A1A3" w:rsidR="00524AFF" w:rsidRDefault="001858F0" w:rsidP="00524AFF">
      <w:r>
        <w:t>Wenn rationale Investor:innen erkennen, dass sich eine Blase gebildet hat, stellt sich die Frage, warum sie diese durch Arbitrage nicht umgehend eliminieren. Die Antwort liefert das Konzept der «Limits of Arbitrage»,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(«Margin Calls») bedienen zu können, falls der Preis der Aktie kurzfristig weiter steigt. Da Märkte länger irrational bleiben können als ein Investor solvent bleibt, ist das Wetten gegen eine Blase mit massiven finanziellen Risiken verbunden.</w:t>
      </w:r>
    </w:p>
    <w:p w14:paraId="7D0F776C" w14:textId="1697476E" w:rsidR="00D437F4" w:rsidRDefault="00D437F4" w:rsidP="00524AFF">
      <w:r>
        <w:t>Eine weitere entscheidende Einschränkung ist das von Abreu und Brunnermeier (2003) beschriebene Synchronisationsrisiko. Die Autoren zeigen, dass selbst wenn eine Gruppe von rationalen Arbitrageur:innen weiss, dass der Markt überbewertet ist, ein einzelner Akteur nicht über genügend Marktmacht verfügt, um die Blase allein zum Platzen zu bringen. (Abreu und Brunnermeier (</w:t>
      </w:r>
      <w:commentRangeStart w:id="38"/>
      <w:r>
        <w:t>2003</w:t>
      </w:r>
      <w:commentRangeEnd w:id="38"/>
      <w:r>
        <w:rPr>
          <w:rStyle w:val="CommentReference"/>
          <w:sz w:val="22"/>
          <w:szCs w:val="20"/>
        </w:rPr>
        <w:commentReference w:id="38"/>
      </w:r>
      <w:r>
        <w:t xml:space="preserve">)). Da die Arbitrageur:innen nicht genau wissen, wann die anderen rationalen Marktteilnehmende anfangen zu verkaufen, entsteht ein Koordinationsproblem. Solange die Spekulation durch die Nachfrage irrationaler Marktteilnehmende weiter angeheizt wird, ist ein vorzeitiger Leerverkauf unprofitabel. (Abreu &amp; Brunnermeier </w:t>
      </w:r>
      <w:commentRangeStart w:id="39"/>
      <w:r>
        <w:t>2003</w:t>
      </w:r>
      <w:commentRangeEnd w:id="39"/>
      <w:r>
        <w:rPr>
          <w:rStyle w:val="CommentReference"/>
          <w:sz w:val="22"/>
          <w:szCs w:val="20"/>
        </w:rPr>
        <w:commentReference w:id="39"/>
      </w:r>
      <w:r>
        <w:t>)</w:t>
      </w:r>
    </w:p>
    <w:p w14:paraId="2887456D" w14:textId="70A0D062" w:rsidR="00A06078" w:rsidRDefault="002501FB" w:rsidP="00524AFF">
      <w:r>
        <w:t>Aus diesen Erkenntnissen resultiert ein zentraler Paradigmenwechsel für das aktive Portfoliomanagement: Anstatt sich frühzeitig gegen den Markt zu stellen, kann es für rationale Investor:innen ökonomisch sinnvoller sein, die Aufwärtsbewegung der Blase bewusst mitzunehmen («Riding the Bubble»),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40" w:name="_Toc229904478"/>
      <w:r>
        <w:lastRenderedPageBreak/>
        <w:t>Definitionen und Arten von Spekulationsblasen</w:t>
      </w:r>
      <w:bookmarkEnd w:id="40"/>
    </w:p>
    <w:p w14:paraId="307306A3" w14:textId="77777777" w:rsidR="008F64AB" w:rsidRDefault="008F64AB" w:rsidP="008F64AB">
      <w:pPr>
        <w:pStyle w:val="Heading3"/>
      </w:pPr>
      <w:bookmarkStart w:id="41" w:name="_Toc229904479"/>
      <w:r>
        <w:t>Begriff und Abgrenzung</w:t>
      </w:r>
      <w:bookmarkEnd w:id="41"/>
    </w:p>
    <w:p w14:paraId="67801F8C" w14:textId="0BEBBEA9" w:rsidR="007C377D" w:rsidRPr="007C377D" w:rsidRDefault="007C377D" w:rsidP="007C377D">
      <w:r>
        <w:t>Historisch betrachtet sind Spekulationsblasen kein neues Phänomen, sondern folgen oft wiederkehrenden Mustern. Wie Aliber und Kindleberger (2011) in ihrem finanzhistorischen Standardwerk aufzeigen, durchlaufen Märkte seit Jahrhunderten Zyklen von Manien und Paniken, die häufig durch eine exogene Ausweitung des Kredits oder technologische Innovationen («Displacements»)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2" w:name="_Toc229904480"/>
      <w:r>
        <w:t>Phasen einer Blase (Regime-Switching)</w:t>
      </w:r>
      <w:bookmarkEnd w:id="42"/>
    </w:p>
    <w:p w14:paraId="12D39155" w14:textId="5C843FF3" w:rsidR="008F64AB" w:rsidRPr="00AB749A" w:rsidRDefault="008F64AB" w:rsidP="008F64AB">
      <w:pPr>
        <w:rPr>
          <w:rFonts w:ascii="Times New Roman" w:hAnsi="Times New Roman"/>
          <w:sz w:val="24"/>
          <w:lang w:eastAsia="en-US"/>
        </w:rPr>
      </w:pPr>
      <w:r>
        <w:rPr>
          <w:rStyle w:val="ng-star-inserted"/>
        </w:rPr>
        <w:t>Um eine Handelsstrategie wie das «Riding the Bubble» operationalisieren zu können, reicht die blosse Unterscheidung zwischen «Blase» und «Keine Blase» nicht aus. Die Literatur unterteilt die Dynamik von Vermögenspreisen daher oft in drei verschiedene Marktphasen oder «Regimes» (Brooks &amp; Katsaris, 2005):</w:t>
      </w:r>
    </w:p>
    <w:p w14:paraId="597B352E" w14:textId="77777777" w:rsidR="008F64AB" w:rsidRPr="00AB749A" w:rsidRDefault="008F64AB" w:rsidP="008F64AB">
      <w:r>
        <w:rPr>
          <w:rStyle w:val="ng-star-inserted"/>
        </w:rPr>
        <w:t xml:space="preserve">1. </w:t>
      </w:r>
      <w:r>
        <w:rPr>
          <w:b/>
          <w:bCs/>
        </w:rPr>
        <w:t>Dormant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«Riding»-Strategie zu initiieren (Milunovich et al., 2019).</w:t>
      </w:r>
    </w:p>
    <w:p w14:paraId="675634FB" w14:textId="77777777" w:rsidR="00AB749A" w:rsidRPr="00AB749A" w:rsidRDefault="008F64AB" w:rsidP="00AB749A">
      <w:r>
        <w:rPr>
          <w:rStyle w:val="ng-star-inserted"/>
        </w:rPr>
        <w:t xml:space="preserve">3. </w:t>
      </w:r>
      <w:r>
        <w:rPr>
          <w:b/>
          <w:bCs/>
        </w:rPr>
        <w:t xml:space="preserve">Collapsing Phase (Kollaps): </w:t>
      </w:r>
      <w:r>
        <w:t>Die Blase platzt und der Preis korrigiert abrupt nach unten, oft bis auf oder unter das Niveau des Fundamentalwerts.</w:t>
      </w:r>
    </w:p>
    <w:p w14:paraId="713B6536" w14:textId="77777777" w:rsidR="00AB749A" w:rsidRPr="00AB749A" w:rsidRDefault="00AB749A" w:rsidP="00AB749A">
      <w:r>
        <w:t>Diese Differenzierung ist für das Risikomanagement essenziell: Während in der explosiven Phase die Gewinne durch das Halten der Position maximiert werden sollen, besteht das Ziel vor der kollabierenden Phase darin, das Kapital durch ein schrittweises De-Risking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3" w:name="_Toc229904481"/>
      <w:r>
        <w:rPr>
          <w:rStyle w:val="ng-star-inserted"/>
        </w:rPr>
        <w:t>Alternative Ansätze zur Blasenerkennung (Abgrenzung)</w:t>
      </w:r>
      <w:bookmarkEnd w:id="43"/>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4"/>
      <w:r>
        <w:t>entwickelt</w:t>
      </w:r>
      <w:commentRangeEnd w:id="44"/>
      <w:r>
        <w:rPr>
          <w:rStyle w:val="CommentReference"/>
          <w:sz w:val="22"/>
          <w:szCs w:val="20"/>
        </w:rPr>
        <w:commentReference w:id="44"/>
      </w:r>
      <w:r>
        <w:t xml:space="preserve">: die klassische ökonomische Literatur, welche auf Zeitreihenanalysen (wie dem PSY-Test) basiert und die </w:t>
      </w:r>
      <w:commentRangeStart w:id="45"/>
      <w:r>
        <w:rPr>
          <w:i/>
          <w:iCs/>
        </w:rPr>
        <w:t>Econophysics</w:t>
      </w:r>
      <w:commentRangeEnd w:id="45"/>
      <w:r>
        <w:rPr>
          <w:rStyle w:val="CommentReference"/>
        </w:rPr>
        <w:commentReference w:id="45"/>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6" w:name="_Toc229904482"/>
      <w:r>
        <w:rPr>
          <w:lang w:val="en-US"/>
        </w:rPr>
        <w:t>Das Log-Periodic Power Law Modell (LPPL)</w:t>
      </w:r>
      <w:bookmarkEnd w:id="46"/>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7"/>
      <w:r>
        <w:t>massgeblich</w:t>
      </w:r>
      <w:commentRangeEnd w:id="47"/>
      <w:r>
        <w:rPr>
          <w:rStyle w:val="CommentReference"/>
          <w:sz w:val="22"/>
          <w:szCs w:val="20"/>
        </w:rPr>
        <w:commentReference w:id="47"/>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(Crashes)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8" w:name="_Toc229904483"/>
      <w:r>
        <w:t>Die Problematik der Elastizität und des Overfittings</w:t>
      </w:r>
      <w:bookmarkEnd w:id="48"/>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(«considerable elasticity»)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Darüber hinaus kann das Modell im Ex-ante-Einsatz (in Echtzeit) sensibel auf Anpassungen des Datenfensters reagieren. Bereits die Verschiebung des Enddatums der Messreihe kann zu abweichenden Schätzungen für den Crash-Zeitpunkt führen (Johansen, Ledoit &amp; Sornette, 2000; Feigenbaum, 2001). Für eine systematische Anlagestrategie, die auf möglichst stabile Signale für das Risikomanagement angewiesen ist, stellt diese Sensibilität eine Herausforderung dar, da eine potenziell höhere Rate an Fehlsignalen («False Positives») die operative Umsetzung erschweren kann (Bertelsen, 2019).</w:t>
      </w:r>
    </w:p>
    <w:p w14:paraId="65C25656" w14:textId="26D6E706" w:rsidR="00965EB2" w:rsidRDefault="00965EB2" w:rsidP="004719FD">
      <w:pPr>
        <w:pStyle w:val="Heading3"/>
      </w:pPr>
      <w:bookmarkStart w:id="49" w:name="_Toc229904484"/>
      <w:r>
        <w:t>Der ökonometrische Gegenentwurf (PSY-Test)</w:t>
      </w:r>
      <w:bookmarkEnd w:id="49"/>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(«Pitfalls») und zeigte auf, dass herkömmliche Unit-Root-Tests periodisch kollabierende Blasen oftmals nicht adäquat erfassen.</w:t>
      </w:r>
    </w:p>
    <w:p w14:paraId="69034AD8" w14:textId="77777777" w:rsidR="003B033E" w:rsidRDefault="003B033E" w:rsidP="003B033E">
      <w:r>
        <w:t>Um diese Lücke zu schliessen, entwickelten Phillips, Shi und Yu (2015) ein rekursives Testverfahren (PSY-Test), das spezifisch auf die Echtzeiterkennung explosiven Verhaltens in Zeitreihen ausgelegt ist. Gemäss Milunovich,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50" w:name="_Toc229904485"/>
      <w:r>
        <w:rPr>
          <w:rStyle w:val="ng-star-inserted"/>
        </w:rPr>
        <w:t>Modellierung von Blasenprozessen (Evans-Modell)</w:t>
      </w:r>
      <w:bookmarkEnd w:id="50"/>
    </w:p>
    <w:p w14:paraId="55E45C6C" w14:textId="19CDFAF4" w:rsidR="004B7AB7" w:rsidRDefault="004B7AB7" w:rsidP="004B7AB7">
      <w:r>
        <w:t>Nachdem in Kapitel 2.2 die Existenz rationaler Blasen theoretisch begründet wurde, ist für die in dieser Arbeit durchgeführte Monte-Carlo-Simulation (siehe Kapitel 4) ein konkretes mathematisches Modell erforderlich. Hierfür wird das Modell der «Periodically Collapsing Bubbles»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1" w:name="_Toc229904486"/>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1"/>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2"/>
      <w:r>
        <w:rPr>
          <w:lang w:eastAsia="en-US"/>
        </w:rPr>
        <w:t>1991</w:t>
      </w:r>
      <w:commentRangeEnd w:id="52"/>
      <w:r>
        <w:rPr>
          <w:rStyle w:val="CommentReference"/>
          <w:sz w:val="22"/>
          <w:szCs w:val="20"/>
          <w:lang w:eastAsia="en-US"/>
        </w:rPr>
        <w:commentReference w:id="52"/>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3"/>
      <w:r>
        <w:rPr>
          <w:lang w:eastAsia="en-US"/>
        </w:rPr>
        <w:t>1991</w:t>
      </w:r>
      <w:commentRangeEnd w:id="53"/>
      <w:r>
        <w:rPr>
          <w:rStyle w:val="CommentReference"/>
          <w:sz w:val="22"/>
          <w:szCs w:val="20"/>
          <w:lang w:eastAsia="en-US"/>
        </w:rPr>
        <w:commentReference w:id="53"/>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4"/>
              <w:commentRangeEnd w:id="54"/>
              <m:r>
                <w:rPr>
                  <w:rStyle w:val="CommentReference"/>
                  <w:rFonts w:ascii="Cambria Math" w:hAnsi="Cambria Math"/>
                  <w:i/>
                  <w:sz w:val="22"/>
                  <w:szCs w:val="20"/>
                </w:rPr>
                <w:commentReference w:id="54"/>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1991).</w:t>
      </w:r>
    </w:p>
    <w:p w14:paraId="7A3B6A9A" w14:textId="5F1E34A5" w:rsidR="003202A6" w:rsidRDefault="006A04E6" w:rsidP="006A04E6">
      <w:pPr>
        <w:pStyle w:val="Heading3"/>
      </w:pPr>
      <w:bookmarkStart w:id="55" w:name="_Toc229904487"/>
      <w:r>
        <w:t>Bedeutung für die Simulation</w:t>
      </w:r>
      <w:bookmarkEnd w:id="55"/>
    </w:p>
    <w:p w14:paraId="4E75434B" w14:textId="7E624F82" w:rsidR="003A2264" w:rsidRDefault="00F22F86" w:rsidP="00AD6766">
      <w:r>
        <w:t xml:space="preserve">Diese mathematische Formulierung ist zentral für das spätere Backtesting. Sie ermöglicht die Generierung synthetischer Zeitreihen, bei denen der «wahre»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2.5.3 beschriebene PSY-Algorithmus die Blase korrekt identifiziert und wie sich die «Riding Bubble»-Strategie im Vergleich zum reinen «Buy &amp; Hold» verhält.</w:t>
      </w:r>
    </w:p>
    <w:p w14:paraId="370CC67E" w14:textId="1D305EFD" w:rsidR="00445474" w:rsidRDefault="00445474" w:rsidP="00445474">
      <w:pPr>
        <w:pStyle w:val="Heading2"/>
      </w:pPr>
      <w:bookmarkStart w:id="56" w:name="_Toc229904488"/>
      <w:r>
        <w:lastRenderedPageBreak/>
        <w:t>Statistische Verfahren zur Blasenerkennung</w:t>
      </w:r>
      <w:bookmarkEnd w:id="56"/>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7"/>
      <w:r>
        <w:t>Signifikanz</w:t>
      </w:r>
      <w:commentRangeEnd w:id="57"/>
      <w:r>
        <w:rPr>
          <w:rStyle w:val="CommentReference"/>
          <w:sz w:val="22"/>
          <w:szCs w:val="20"/>
        </w:rPr>
        <w:commentReference w:id="57"/>
      </w:r>
      <w:r>
        <w:t xml:space="preserve"> detektiert.</w:t>
      </w:r>
    </w:p>
    <w:p w14:paraId="22649137" w14:textId="68ED28E2" w:rsidR="00562E0B" w:rsidRDefault="00562E0B" w:rsidP="00562E0B">
      <w:pPr>
        <w:pStyle w:val="Heading3"/>
      </w:pPr>
      <w:bookmarkStart w:id="58" w:name="_Toc229904489"/>
      <w:r>
        <w:t>Grenzen herkömmlicher Stationaritätstests (Evans-</w:t>
      </w:r>
      <w:commentRangeStart w:id="59"/>
      <w:r>
        <w:t>Kritik</w:t>
      </w:r>
      <w:commentRangeEnd w:id="59"/>
      <w:r>
        <w:rPr>
          <w:rStyle w:val="CommentReference"/>
          <w:sz w:val="22"/>
          <w:szCs w:val="20"/>
        </w:rPr>
        <w:commentReference w:id="59"/>
      </w:r>
      <w:r>
        <w:t>)</w:t>
      </w:r>
      <w:bookmarkEnd w:id="58"/>
    </w:p>
    <w:p w14:paraId="612FD2B5" w14:textId="4B0062F9" w:rsidR="006154B8" w:rsidRDefault="006154B8" w:rsidP="006154B8">
      <w:r>
        <w:t>In der Ökonometrie werden Zeitreihen von Vermögenspreisen traditionell mittels Tests auf Stationarität untersucht, wie etwa dem ursprünglich von Dickey und Fuller (1979) entwickeltem Augmented Dickey-Fuller (</w:t>
      </w:r>
      <m:oMath>
        <m:r>
          <m:rPr>
            <m:sty m:val="p"/>
          </m:rPr>
          <w:rPr>
            <w:rFonts w:ascii="Cambria Math" w:hAnsi="Cambria Math"/>
          </w:rPr>
          <m:t>ADF</m:t>
        </m:r>
      </m:oMath>
      <w:r>
        <w:t>)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klassifizieren, selbst wenn explosive Phasen vorliegen (Evans, 1991). Die Nullhypothese «Keine Blase» wird somit oft fälschlicherweise nicht verworfen (Fehler 2. Art).</w:t>
      </w:r>
    </w:p>
    <w:p w14:paraId="2C1F0CE5" w14:textId="3EDB7222" w:rsidR="009613ED" w:rsidRDefault="009613ED" w:rsidP="009613ED">
      <w:pPr>
        <w:pStyle w:val="Heading3"/>
      </w:pPr>
      <w:bookmarkStart w:id="60" w:name="_Toc229904490"/>
      <w:r>
        <w:t>Rechtsseitige Unit-Root-Tests</w:t>
      </w:r>
      <w:bookmarkEnd w:id="60"/>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1" w:name="_Toc229904491"/>
      <w:r>
        <w:rPr>
          <w:lang w:val="en-US"/>
        </w:rPr>
        <w:lastRenderedPageBreak/>
        <w:t>Der PSY-Test (Phillips-Shi-Yu)</w:t>
      </w:r>
      <w:bookmarkEnd w:id="61"/>
    </w:p>
    <w:p w14:paraId="7287AC01" w14:textId="77777777" w:rsidR="003E0B08" w:rsidRDefault="003E0B08" w:rsidP="003E0B08">
      <w:r>
        <w:t>Um auch kurzlebige oder mehrfach auftretende Blasen innerhalb einer langen Zeitreihe zuverlässig zu identifizieren, haben Phillips, Shi und Yu (PSY) ein rekursives Testverfahren entwickelt. Dieses gilt in der aktuellen Literatur als adäquater Ansatz für die Echtzeiterkennung (Real-Time Detection) von Blasen (Milunovich et al., 2019).</w:t>
      </w:r>
    </w:p>
    <w:p w14:paraId="59DE887D" w14:textId="77777777" w:rsidR="003E0B08" w:rsidRDefault="003E0B08" w:rsidP="003E0B08">
      <w:r>
        <w:t xml:space="preserve">Das Verfahren basiert auf dem Prinzip der rollierenden Fenster (Rolling Windows). Anstatt die gesamte Historie als einen statischen Block zu testen, berechnet der Algorithmus die </w:t>
      </w:r>
      <m:oMath>
        <m:r>
          <m:rPr>
            <m:sty m:val="p"/>
          </m:rPr>
          <w:rPr>
            <w:rFonts w:ascii="Cambria Math" w:hAnsi="Cambria Math"/>
          </w:rPr>
          <m:t>ADF</m:t>
        </m:r>
      </m:oMath>
      <w:r>
        <w:t>-Teststatistik wiederholt für verschiedene Teilperioden:</w:t>
      </w:r>
    </w:p>
    <w:p w14:paraId="4927136D" w14:textId="77ED36F1" w:rsidR="003E0B08" w:rsidRDefault="003E0B08" w:rsidP="003E0B08">
      <w:pPr>
        <w:pStyle w:val="ListParagraph"/>
        <w:numPr>
          <w:ilvl w:val="0"/>
          <w:numId w:val="34"/>
        </w:numPr>
      </w:pPr>
      <m:oMath>
        <m:r>
          <m:rPr>
            <m:sty m:val="p"/>
          </m:rPr>
          <w:rPr>
            <w:rFonts w:ascii="Cambria Math" w:hAnsi="Cambria Math"/>
          </w:rPr>
          <m:t>SADF</m:t>
        </m:r>
      </m:oMath>
      <w:r>
        <w:t xml:space="preserve"> (Supremum </w:t>
      </w:r>
      <m:oMath>
        <m:r>
          <m:rPr>
            <m:sty m:val="p"/>
          </m:rPr>
          <w:rPr>
            <w:rFonts w:ascii="Cambria Math" w:hAnsi="Cambria Math"/>
          </w:rPr>
          <m:t>ADF</m:t>
        </m:r>
      </m:oMath>
      <w:r>
        <w:t xml:space="preserve">): Hierbei wird der Startpunkt des Fensters fixiert, während der Endpunkt variiert. Der Test sucht nach dem maximalen </w:t>
      </w:r>
      <m:oMath>
        <m:r>
          <m:rPr>
            <m:sty m:val="p"/>
          </m:rPr>
          <w:rPr>
            <w:rFonts w:ascii="Cambria Math" w:hAnsi="Cambria Math"/>
          </w:rPr>
          <m:t>ADF</m:t>
        </m:r>
      </m:oMath>
      <w:r>
        <w:t>-Wert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m:oMath>
        <m:r>
          <m:rPr>
            <m:sty m:val="p"/>
          </m:rPr>
          <w:rPr>
            <w:rFonts w:ascii="Cambria Math" w:hAnsi="Cambria Math"/>
          </w:rPr>
          <m:t>GSADF</m:t>
        </m:r>
      </m:oMath>
      <w:r>
        <w:t xml:space="preserve"> (Generalized </w:t>
      </w:r>
      <m:oMath>
        <m:r>
          <m:rPr>
            <m:sty m:val="p"/>
          </m:rPr>
          <w:rPr>
            <w:rFonts w:ascii="Cambria Math" w:hAnsi="Cambria Math"/>
          </w:rPr>
          <m:t>SADF</m:t>
        </m:r>
      </m:oMath>
      <w:r>
        <w:t xml:space="preserve">): Um auch mehrere, periodisch auftretende Blasen zu erfassen (wie im Evans-Modell simuliert), variiert der </w:t>
      </w:r>
      <m:oMath>
        <m:r>
          <m:rPr>
            <m:sty m:val="p"/>
          </m:rPr>
          <w:rPr>
            <w:rFonts w:ascii="Cambria Math" w:hAnsi="Cambria Math"/>
          </w:rPr>
          <m:t>GSADF</m:t>
        </m:r>
      </m:oMath>
      <w:r>
        <w:t>-Test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m:oMath>
        <m:r>
          <m:rPr>
            <m:sty m:val="p"/>
          </m:rPr>
          <w:rPr>
            <w:rFonts w:ascii="Cambria Math" w:hAnsi="Cambria Math"/>
          </w:rPr>
          <m:t>BSADF</m:t>
        </m:r>
      </m:oMath>
      <w:r>
        <w:t xml:space="preserve"> (Backward </w:t>
      </w:r>
      <m:oMath>
        <m:r>
          <m:rPr>
            <m:sty m:val="p"/>
          </m:rPr>
          <w:rPr>
            <w:rFonts w:ascii="Cambria Math" w:hAnsi="Cambria Math"/>
          </w:rPr>
          <m:t>SADF</m:t>
        </m:r>
      </m:oMath>
      <w:r>
        <w:t xml:space="preserve">): Für die genaue Datierung (Time-Stamping) im operativen Einsatz wird eine Rückwärts-Regression genutzt. Dabei wird der Endpunkt des Fensters auf den jeweils aktuellen Tag fixiert, während der Startpunkt nach hinten variiert. Das Supremum dieser Berechnungen liefert die </w:t>
      </w:r>
      <m:oMath>
        <m:r>
          <m:rPr>
            <m:sty m:val="p"/>
          </m:rPr>
          <w:rPr>
            <w:rFonts w:ascii="Cambria Math" w:hAnsi="Cambria Math"/>
          </w:rPr>
          <m:t>BSADF</m:t>
        </m:r>
      </m:oMath>
      <w:r>
        <w:t>-Statistik für genau diesen Tag.</w:t>
      </w:r>
    </w:p>
    <w:p w14:paraId="49A698C0" w14:textId="7E62AEA5" w:rsidR="003E0B08" w:rsidRPr="003E0B08" w:rsidRDefault="003E0B08" w:rsidP="003E0B08">
      <w:r>
        <w:t xml:space="preserve">Für die in dieser Arbeit entwickelte Handelsstrategie ist entscheidend, dass der Test ex-ante durchgeführt wird. Das bedeutet, dass zum Zeitpunkt t ausschliesslich Informationen genutzt werden, die bis t verfügbar sind (Backward-Looking). Überschreitet die </w:t>
      </w:r>
      <m:oMath>
        <m:r>
          <m:rPr>
            <m:sty m:val="p"/>
          </m:rPr>
          <w:rPr>
            <w:rFonts w:ascii="Cambria Math" w:hAnsi="Cambria Math"/>
          </w:rPr>
          <m:t>BSADF</m:t>
        </m:r>
      </m:oMath>
      <w:r>
        <w:t xml:space="preserve">-Statistik den dynamischen Schwellenwert, wird das Marktregime von «Random Walk» auf «Explosiv» umgestuft. Dies dient im Backtesting als objektives Signal für eine Reduktion des Marktexposures. Die hier verwendete Implementierung folgt der </w:t>
      </w:r>
      <m:oMath>
        <m:r>
          <m:rPr>
            <m:sty m:val="p"/>
          </m:rPr>
          <w:rPr>
            <w:rFonts w:ascii="Cambria Math" w:hAnsi="Cambria Math"/>
          </w:rPr>
          <m:t>BSADF</m:t>
        </m:r>
      </m:oMath>
      <w:r>
        <w:t xml:space="preserve">-Spezifikation von PSY (2015): für jeden Endpunkt t wird das Supremum der </w:t>
      </w:r>
      <m:oMath>
        <m:r>
          <m:rPr>
            <m:sty m:val="p"/>
          </m:rPr>
          <w:rPr>
            <w:rFonts w:ascii="Cambria Math" w:hAnsi="Cambria Math"/>
          </w:rPr>
          <m:t>ADF</m:t>
        </m:r>
      </m:oMath>
      <w:r>
        <w:t xml:space="preserve">-Koeffizienten-t-Statistik über variable Startpunkte  gebildet. Die </w:t>
      </w:r>
      <m:oMath>
        <m:r>
          <m:rPr>
            <m:sty m:val="p"/>
          </m:rPr>
          <w:rPr>
            <w:rFonts w:ascii="Cambria Math" w:hAnsi="Cambria Math"/>
          </w:rPr>
          <m:t>ADF</m:t>
        </m:r>
      </m:oMath>
      <w:r>
        <w:t>-Regressionen werden mit Newey-West HAC-Standardfehlern durchgeführt, wobei die Lag-Anzahl gemäss der Newey-West-Empfehlung  automatisch bestimmt wird.</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p>
    <w:p w14:paraId="5730C1E9" w14:textId="25874EE4" w:rsidR="00562E0B" w:rsidRDefault="007A7EB1" w:rsidP="00696E7C">
      <w:pPr>
        <w:pStyle w:val="Heading2"/>
      </w:pPr>
      <w:bookmarkStart w:id="62" w:name="_Toc229904492"/>
      <w:r>
        <w:lastRenderedPageBreak/>
        <w:t>Die Handelsstrategie: «Riding the Bubble»</w:t>
      </w:r>
      <w:bookmarkEnd w:id="62"/>
    </w:p>
    <w:p w14:paraId="67DAA1B2" w14:textId="1F761DF1" w:rsidR="00F46D18" w:rsidRDefault="00F46D18" w:rsidP="00F46D18">
      <w:r>
        <w:t>Aufbauend auf der in Kapitel 2.1 erläuterten Theorie rationaler Blasen und dem in Kapitel 2.2 vorgestellten Simulationsmodell (Evans-Modell) wird nun die konkrete Handelsstrategie definiert. Diese nutzt das in Kapitel 2.5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3" w:name="_Toc229904493"/>
      <w:r>
        <w:t>Dynamische Asset Allocation und De-Risking</w:t>
      </w:r>
      <w:bookmarkEnd w:id="63"/>
    </w:p>
    <w:p w14:paraId="3C8ECE43" w14:textId="0251F8A5" w:rsidR="005F1D52" w:rsidRDefault="005F1D52" w:rsidP="005F1D52">
      <w:r>
        <w:t>Die Strategie orientiert sich am Ansatz von Guenster, Kole und Jacobsen (2009). Diese zeigten, dass es für Investor:innen sinnvoll sein kann, eine überbewertete Aktie im Portfolio zu behalten, solange das erwartete Kurspotenzial höher ist als das Risiko eines sofortigen Crashs.</w:t>
      </w:r>
    </w:p>
    <w:p w14:paraId="450559D9" w14:textId="30CDC7FE" w:rsidR="00DC4451" w:rsidRDefault="005F1D52" w:rsidP="005F1D52">
      <w:r>
        <w:t>Da das Risiko eines Absturzes jedoch mit der Dauer der Blase exponentiell ansteigt (Abreu &amp; Brunnermeier, 2003), weicht die hier entwickelte Strategie («Dynamic Exposure») von einem reinen «Buy &amp; Hold» ab. Anstatt das Risiko in der Blase zu erhöhen, wird ein antizyklisches «De-Risking»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4" w:name="_Toc229904494"/>
      <w:r>
        <w:t>Signalverarbeitung und Positionssteuerung</w:t>
      </w:r>
      <w:bookmarkEnd w:id="64"/>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7720F02F" w:rsidR="00D05F2C" w:rsidRDefault="00D05F2C" w:rsidP="00D05F2C">
      <w:pPr>
        <w:pStyle w:val="ListParagraph"/>
        <w:numPr>
          <w:ilvl w:val="0"/>
          <w:numId w:val="35"/>
        </w:numPr>
      </w:pPr>
      <w:r>
        <w:t>Regime-Erkennung: In jedem Zeitschritt prüft das System, ob der aktuelle PSY-Wert (</w:t>
      </w:r>
      <m:oMath>
        <m:r>
          <m:rPr>
            <m:sty m:val="p"/>
          </m:rPr>
          <w:rPr>
            <w:rFonts w:ascii="Cambria Math" w:hAnsi="Cambria Math"/>
          </w:rPr>
          <m:t>GSADF</m:t>
        </m:r>
      </m:oMath>
      <w:r>
        <w:t>) die kritische Schwelle (95 %-Signifikanz) überschreitet.</w:t>
      </w:r>
    </w:p>
    <w:p w14:paraId="179E8A6F" w14:textId="59443042" w:rsidR="00475268" w:rsidRDefault="00D05F2C" w:rsidP="00D05F2C">
      <w:pPr>
        <w:pStyle w:val="ListParagraph"/>
        <w:numPr>
          <w:ilvl w:val="0"/>
          <w:numId w:val="35"/>
        </w:numPr>
      </w:pPr>
      <w:r>
        <w:t>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Exposure bei extremen Überbewertungen schrittweise zu verringern und aufgelaufene Gewinne zu sichern (Milunovich et al., 2019).</w:t>
      </w:r>
    </w:p>
    <w:p w14:paraId="38319074" w14:textId="295C51A5" w:rsidR="00475268" w:rsidRDefault="00475268" w:rsidP="00475268">
      <w:pPr>
        <w:pStyle w:val="Heading3"/>
      </w:pPr>
      <w:bookmarkStart w:id="65" w:name="_Toc229904495"/>
      <w:r>
        <w:lastRenderedPageBreak/>
        <w:t>Risikomanagement und Ausstiegsindikatoren (Exit)</w:t>
      </w:r>
      <w:bookmarkEnd w:id="65"/>
    </w:p>
    <w:p w14:paraId="05CBD396" w14:textId="0555F35E" w:rsidR="00BA5CBD" w:rsidRDefault="00BA5CBD" w:rsidP="00BA5CBD">
      <w:r>
        <w:t xml:space="preserve">Eine der grössten Herausforderungen beim «Riding the Bubble» ist der richtige Ausstiegszeitpunkt. Die V3-Konfiguration zeigte hier eine Schwäche: Panik-Verkäufe wurden teilweise an Crash-Tagen ausgelöst. V7 ergänzt deshalb einen direktionalen Pre-Filter. Der Panik-Trigger wird nur ausgeführt, wenn der 60-Tages-Trend zum Entscheidungszeitpunkt positiv ist (). Damit werden </w:t>
      </w:r>
      <m:oMath>
        <m:r>
          <m:rPr>
            <m:sty m:val="p"/>
          </m:rPr>
          <w:rPr>
            <w:rFonts w:ascii="Cambria Math" w:hAnsi="Cambria Math"/>
          </w:rPr>
          <m:t>BSADF</m:t>
        </m:r>
      </m:oMath>
      <w:r>
        <w:t>-Spikes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6" w:name="_Toc229904496"/>
      <w:r>
        <w:lastRenderedPageBreak/>
        <w:t>Methodik und Datenbasis</w:t>
      </w:r>
      <w:bookmarkEnd w:id="66"/>
    </w:p>
    <w:p w14:paraId="44003F32" w14:textId="70182520" w:rsidR="002879EF" w:rsidRDefault="00456BEC" w:rsidP="00C10D50">
      <w:pPr>
        <w:pStyle w:val="Heading2"/>
      </w:pPr>
      <w:bookmarkStart w:id="67" w:name="_Toc229904497"/>
      <w:r>
        <w:t>Datenbasis und Aufbereitung</w:t>
      </w:r>
      <w:bookmarkEnd w:id="67"/>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68" w:name="_Toc229904498"/>
      <w:r>
        <w:t>Titelauswahl (Stichprobe)</w:t>
      </w:r>
      <w:bookmarkEnd w:id="68"/>
    </w:p>
    <w:p w14:paraId="32AB6C53" w14:textId="77777777" w:rsidR="0038248F" w:rsidRPr="0038248F" w:rsidRDefault="0038248F" w:rsidP="0038248F">
      <w:r>
        <w:t>Wie Guenster, Kole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Compagnie Financière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Guenster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Die bewusste Beschränkung auf fünf historisch volatile Wachstumstitel konstituiert einen Selection Bias im Sinne von Jensen (1968) und Brown, Goetzmann, Ibbotson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69" w:name="_Toc229904499"/>
      <w:r>
        <w:t>Beobachtungszeitraum und Datenfrequenz</w:t>
      </w:r>
      <w:bookmarkEnd w:id="69"/>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(Crashes)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70" w:name="_Toc229904500"/>
      <w:r>
        <w:t>Datenqualität und Bereinigung (Adjusted Close)</w:t>
      </w:r>
      <w:bookmarkEnd w:id="70"/>
    </w:p>
    <w:p w14:paraId="563B8DC4" w14:textId="2DD0F6CC" w:rsidR="00BF2397" w:rsidRDefault="00BF2397" w:rsidP="00ED7180">
      <w:pPr>
        <w:rPr>
          <w:lang w:eastAsia="en-US"/>
        </w:rPr>
      </w:pPr>
      <w:r>
        <w:rPr>
          <w:lang w:eastAsia="en-US"/>
        </w:rPr>
        <w:t xml:space="preserve">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«Look-Ahead-Bias»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1" w:name="_Toc229904501"/>
      <w:r>
        <w:rPr>
          <w:lang w:eastAsia="en-US"/>
        </w:rPr>
        <w:lastRenderedPageBreak/>
        <w:t>Validierung im synthetischen Markt (Monte-Carlo-Simulation)</w:t>
      </w:r>
      <w:bookmarkEnd w:id="71"/>
    </w:p>
    <w:p w14:paraId="00B06B87" w14:textId="16BBC3D7" w:rsidR="00A21C0F" w:rsidRDefault="005B4ADA" w:rsidP="00A21C0F">
      <w:pPr>
        <w:rPr>
          <w:lang w:eastAsia="en-US"/>
        </w:rPr>
      </w:pPr>
      <w:r>
        <w:rPr>
          <w:lang w:eastAsia="en-US"/>
        </w:rPr>
        <w:t>Die isolierte Entwicklung einer Handelsstrategie auf Basis realer historischer Marktdaten birgt in der quantitativen Finanzanalyse das Risiko des sogenannten Overfittings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Exuberance»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2" w:name="_Toc229904502"/>
      <w:r>
        <w:rPr>
          <w:lang w:eastAsia="en-US"/>
        </w:rPr>
        <w:t>Das Konzept der «Ground Truth»</w:t>
      </w:r>
      <w:bookmarkEnd w:id="72"/>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3" w:name="_Toc229904503"/>
      <w:r>
        <w:rPr>
          <w:lang w:eastAsia="en-US"/>
        </w:rPr>
        <w:t>Implementierung des Evans-Modell und Parameterkalibrierung</w:t>
      </w:r>
      <w:bookmarkEnd w:id="73"/>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7D10F624"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xml:space="preserve">) auf einem Basiswert von 0.75 %.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zu erzwingen und die Funktionalität des Algorithmus anschaulich zu demonstrieren. Das passt gut zum historisch tiefen Zinsniveau im Schweizer Franken (CHF). Im Backtesting mit den echten Marktdaten (Kapitel 3.4) wird die Cash-Position aus Konservativitätsgründen mit 0.00 % verzinst, um die Rendite der Strategie nicht durch theoretische Zinserträge zu beschönigen.</w:t>
      </w:r>
    </w:p>
    <w:p w14:paraId="5E33E5CB" w14:textId="305EC55D"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3.73 % (</w:t>
      </w:r>
      <w:r>
        <w:rPr>
          <w:rFonts w:ascii="Consolas" w:hAnsi="Consolas"/>
          <w:sz w:val="18"/>
          <w:szCs w:val="18"/>
          <w:lang w:eastAsia="en-US"/>
        </w:rPr>
        <w:t>drift_annual</w:t>
      </w:r>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1010F096"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15.74 % (</w:t>
      </w:r>
      <w:r>
        <w:rPr>
          <w:sz w:val="18"/>
          <w:szCs w:val="18"/>
          <w:lang w:eastAsia="en-US"/>
        </w:rPr>
        <w:t>vola_annual</w:t>
      </w:r>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(False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4" w:name="_MON_1839064224"/>
      <w:bookmarkEnd w:id="74"/>
      <w:r>
        <w:rPr>
          <w:rFonts w:ascii="Consolas" w:hAnsi="Consolas" w:cs="Consolas"/>
          <w:sz w:val="18"/>
        </w:rPr>
        <w:t>FUNCTION generiere_evans_pfad():</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b[0]   &lt;- B_start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f[0]   &lt;- mu*(1+r)/r^2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eps &lt;- N(0, sigma_d)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max(0.01, mu + d[t-1] + eps)</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mu*(1+r)/r^2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LogN(0,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alpha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rand() &lt;= pi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growth &lt;- (1/pi)*(1+r)*(b[t-1] - delta/(1+r))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growth)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delta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5" w:name="_Toc229904504"/>
      <w:r>
        <w:rPr>
          <w:lang w:eastAsia="en-US"/>
        </w:rPr>
        <w:t>Proof of Concept für die Strategie</w:t>
      </w:r>
      <w:bookmarkEnd w:id="75"/>
    </w:p>
    <w:p w14:paraId="05DD99C4" w14:textId="424125C7" w:rsidR="00770515" w:rsidRDefault="00AC0872" w:rsidP="003A311A">
      <w:pPr>
        <w:rPr>
          <w:lang w:eastAsia="en-US"/>
        </w:rPr>
      </w:pPr>
      <w:r>
        <w:rPr>
          <w:lang w:eastAsia="en-US"/>
        </w:rPr>
        <w:t>Bevor die «Riding the Bubble»-Strategie auf reale Schweizer Aktien angewendet wird, soll sie in dieser simulierten Umgebung einen Proof of Concept erbringen. Der entwickelte Algorithmus durchläuft die künstlichen Zeitreihen strikt ex-ante und soll aufzeigen, inwieweit er erstens die explosive Phase vom Random Walk unterscheiden kann, und zweitens das in Kapitel 3.4 definierte De-Risking-Regelwerk vor Eintritt des programmierten Evans-Crashs auslöst. Zeigt die Strategie in diesem mathematisch kontrollierten Umfeld messbare Vorteile (z. B. durch die Reduktion des Maximum Drawdowns) gegenüber einem passiven Buy &amp; Hold-Ansatz,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6" w:name="_Toc229904505"/>
      <w:r>
        <w:rPr>
          <w:lang w:eastAsia="en-US"/>
        </w:rPr>
        <w:t>Implementierung der Blasenerkennung (PSY-Test)</w:t>
      </w:r>
      <w:bookmarkEnd w:id="76"/>
    </w:p>
    <w:p w14:paraId="0C749C5A" w14:textId="69F8F5BA" w:rsidR="00783F63" w:rsidRDefault="00783F63" w:rsidP="00783F63">
      <w:pPr>
        <w:rPr>
          <w:lang w:eastAsia="en-US"/>
        </w:rPr>
      </w:pPr>
      <w:r>
        <w:rPr>
          <w:lang w:eastAsia="en-US"/>
        </w:rPr>
        <w:t xml:space="preserve">Die Kernkomponente der simulierten Handelsstrategie ist die algorithmische Erkennung der explosiven Marktphasen. Hierfür wird die </w:t>
      </w:r>
      <m:oMath>
        <m:r>
          <m:rPr>
            <m:sty m:val="p"/>
          </m:rPr>
          <w:rPr>
            <w:rFonts w:ascii="Cambria Math" w:hAnsi="Cambria Math"/>
          </w:rPr>
          <m:t>BSADF</m:t>
        </m:r>
      </m:oMath>
      <w:r>
        <w:rPr>
          <w:lang w:eastAsia="en-US"/>
        </w:rPr>
        <w:t xml:space="preserve">-Statistik (Backward Sup </w:t>
      </w:r>
      <m:oMath>
        <m:r>
          <m:rPr>
            <m:sty m:val="p"/>
          </m:rPr>
          <w:rPr>
            <w:rFonts w:ascii="Cambria Math" w:hAnsi="Cambria Math"/>
          </w:rPr>
          <m:t>ADF</m:t>
        </m:r>
      </m:oMath>
      <w:r>
        <w:rPr>
          <w:lang w:eastAsia="en-US"/>
        </w:rPr>
        <w:t>)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7" w:name="_Toc229904506"/>
      <w:r>
        <w:rPr>
          <w:lang w:eastAsia="en-US"/>
        </w:rPr>
        <w:t>Ex-ante-Bedingung und Rolling-Window</w:t>
      </w:r>
      <w:bookmarkEnd w:id="77"/>
    </w:p>
    <w:p w14:paraId="19E4AA1C" w14:textId="5BF7BF50" w:rsidR="00783F63" w:rsidRDefault="00B9212C" w:rsidP="00783F63">
      <w:pPr>
        <w:rPr>
          <w:lang w:eastAsia="en-US"/>
        </w:rPr>
      </w:pPr>
      <w:r>
        <w:rPr>
          <w:lang w:eastAsia="en-US"/>
        </w:rPr>
        <w:t xml:space="preserve">Um einen Look-Ahead-Bias (Rückschaufehler) strikt zu vermeiden, erfolgt die Modellierung in Python ex-ante. Das bedeutet, dass der Algorithmus die Zeitreihe iterativ durchläuft und zum Zeitpunkt t für die Berechnung der </w:t>
      </w:r>
      <m:oMath>
        <m:r>
          <m:rPr>
            <m:sty m:val="p"/>
          </m:rPr>
          <w:rPr>
            <w:rFonts w:ascii="Cambria Math" w:hAnsi="Cambria Math"/>
          </w:rPr>
          <m:t>BSADF</m:t>
        </m:r>
      </m:oMath>
      <w:r>
        <w:rPr>
          <w:lang w:eastAsia="en-US"/>
        </w:rPr>
        <w:t>-Statistik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r>
        <w:rPr>
          <w:rFonts w:ascii="Consolas" w:hAnsi="Consolas" w:cs="Consolas"/>
          <w:lang w:eastAsia="en-US"/>
        </w:rPr>
        <w:t>max_lookback</w:t>
      </w:r>
      <w:r>
        <w:rPr>
          <w:lang w:eastAsia="en-US"/>
        </w:rPr>
        <w:t xml:space="preserve">) auf 252 Handelstage (1 Handelsjahr) festgelegt. Während dieser initialen Phase (252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vollen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 xml:space="preserve">Zudem gewährleistet diese Wahl die methodische Konsistenz innerhalb des Handelssystems, da auch die in Kapitel 3.3.3 beschriebenen dynamischen Quantile auf einem Referenzzeitraum von 252 Tagen basieren. Das minimale Sub-Fenster für die innere Supremum-Suche wird in der V7-Hauptkonfiguration auf </w:t>
      </w:r>
      <w:r>
        <w:rPr>
          <w:rFonts w:ascii="Consolas" w:hAnsi="Consolas" w:cs="Consolas"/>
          <w:lang w:eastAsia="en-US"/>
        </w:rPr>
        <w:t>min_window</w:t>
      </w:r>
      <w:r>
        <w:rPr>
          <w:lang w:eastAsia="en-US"/>
        </w:rPr>
        <w:t xml:space="preserve"> = 178 Handelstage gesetzt (etwa drei Quartale), womit die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 178 für T ≈ 5'000 exakt erfüllt ist. Diese Wahl folgt der PSY-(2015)-Empfehlung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konservativ und korrigiert die in Anhang B dokumentierte Fehlanwendung von </w:t>
      </w:r>
      <w:r>
        <w:rPr>
          <w:rFonts w:ascii="Consolas" w:hAnsi="Consolas" w:cs="Consolas"/>
          <w:lang w:eastAsia="en-US"/>
        </w:rPr>
        <w:t>min_window</w:t>
      </w:r>
      <w:r>
        <w:rPr>
          <w:lang w:eastAsia="en-US"/>
        </w:rPr>
        <w:t xml:space="preserve"> = 30, unter der die </w:t>
      </w:r>
      <m:oMath>
        <m:r>
          <m:rPr>
            <m:sty m:val="p"/>
          </m:rPr>
          <w:rPr>
            <w:rFonts w:ascii="Cambria Math" w:hAnsi="Cambria Math"/>
          </w:rPr>
          <m:t>BSADF</m:t>
        </m:r>
      </m:oMath>
      <w:r>
        <w:rPr>
          <w:lang w:eastAsia="en-US"/>
        </w:rPr>
        <w:t xml:space="preserve">-Suprema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w:t>
      </w:r>
      <m:oMath>
        <m:r>
          <m:rPr>
            <m:sty m:val="p"/>
          </m:rPr>
          <w:rPr>
            <w:rFonts w:ascii="Cambria Math" w:hAnsi="Cambria Math"/>
          </w:rPr>
          <m:t>BSADF</m:t>
        </m:r>
      </m:oMath>
      <w:r>
        <w:rPr>
          <w:lang w:eastAsia="en-US"/>
        </w:rPr>
        <w:t xml:space="preserve">-Berechnung in Listing 2 als Pseudo-Code abgebildet. Eine Robustheits-Diagnostik dieser Implementierung mit alternativen Werten von </w:t>
      </w:r>
      <w:r>
        <w:rPr>
          <w:rFonts w:ascii="Consolas" w:hAnsi="Consolas" w:cs="Consolas"/>
          <w:lang w:eastAsia="en-US"/>
        </w:rPr>
        <w:t>min_window</w:t>
      </w:r>
      <w:r>
        <w:rPr>
          <w:lang w:eastAsia="en-US"/>
        </w:rPr>
        <w:t xml:space="preserve">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78" w:name="_MON_1839061822"/>
      <w:bookmarkEnd w:id="78"/>
      <w:r>
        <w:rPr>
          <w:rFonts w:ascii="Consolas" w:hAnsi="Consolas" w:cs="Consolas"/>
          <w:sz w:val="18"/>
        </w:rPr>
        <w:t>FUNCTION bsadf(y[0..T-1], min_window, max_lookback):</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y[0]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 &lt;- array of zeros, length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min_window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earliest &lt;- max(0, t - max_lookback)</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latest   &lt;- t - min_window</w:t>
      </w:r>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best &lt;- -infinity</w:t>
      </w:r>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earliest ... latest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dy   &lt;- y[r1+1..t]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ylag &lt;- y[r1..t-1]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length(ylag)</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(alpha, beta, resid) &lt;- OLS(dy ~ 1 + ylag)</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q  &lt;- floor(4*(n/100)^(2/9))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HAC_kovariance(resid, ylag,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t_stat &lt;- beta / sqrt(S[beta, beta])</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t_stat &gt; best THEN best &lt;- t_stat</w:t>
      </w:r>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bsadf[t] &lt;- best</w:t>
      </w:r>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bsadf</w:t>
      </w:r>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2: Algorithmische Berechnung der </w:t>
      </w:r>
      <m:oMath>
        <m:r>
          <w:rPr>
            <w:rFonts w:ascii="Cambria Math" w:hAnsi="Cambria Math"/>
          </w:rPr>
          <m:t>BSADF</m:t>
        </m:r>
      </m:oMath>
      <w:r>
        <w:t>-Teststatistik (PSY-Test)</w:t>
      </w:r>
    </w:p>
    <w:p w14:paraId="3063846F" w14:textId="5F3D5189" w:rsidR="00360499" w:rsidRDefault="00360499" w:rsidP="00783F63">
      <w:r>
        <w:t xml:space="preserve">Wie aus dem Pseudo-Code ersichtlich wird, berechnet der Algorithmus nicht nur einen einzelnen </w:t>
      </w:r>
      <m:oMath>
        <m:r>
          <m:rPr>
            <m:sty m:val="p"/>
          </m:rPr>
          <w:rPr>
            <w:rFonts w:ascii="Cambria Math" w:hAnsi="Cambria Math"/>
          </w:rPr>
          <m:t>ADF</m:t>
        </m:r>
      </m:oMath>
      <w:r>
        <w:t xml:space="preserve">-Wert pro Tag, sondern testet iterativ alle möglichen Startpunkte innerhalb des Rückblickfensters. Der höchste dabei gefundene Wert (Supremum) bildet die finale Teststatistik für den Tag . Dieser rechenintensive Ansatz garantiert, dass das System exakt diejenige </w:t>
      </w:r>
      <w:r>
        <w:lastRenderedPageBreak/>
        <w:t>Teilperiode identifiziert, in welcher das exponentielle Preisverhalten am stärksten ausgeprägt ist, ohne dabei jemals auf zukünftige Daten zurückzugreifen.</w:t>
      </w:r>
      <m:oMath>
        <m:r>
          <w:rPr>
            <w:rFonts w:ascii="Cambria Math" w:hAnsi="Cambria Math"/>
          </w:rPr>
          <m:t>t</m:t>
        </m:r>
      </m:oMath>
    </w:p>
    <w:p w14:paraId="5AC49D71" w14:textId="14BF26D0" w:rsidR="00B9212C" w:rsidRDefault="00B9212C" w:rsidP="00B9212C">
      <w:pPr>
        <w:pStyle w:val="Heading3"/>
        <w:rPr>
          <w:lang w:eastAsia="en-US"/>
        </w:rPr>
      </w:pPr>
      <w:bookmarkStart w:id="79" w:name="_Toc229904507"/>
      <w:r>
        <w:rPr>
          <w:lang w:eastAsia="en-US"/>
        </w:rPr>
        <w:t>Die Herausforderung der kritischen Werte</w:t>
      </w:r>
      <w:bookmarkEnd w:id="79"/>
    </w:p>
    <w:p w14:paraId="2C263925" w14:textId="6D8CB496" w:rsidR="00B9212C" w:rsidRDefault="00B9212C" w:rsidP="00B9212C">
      <w:pPr>
        <w:rPr>
          <w:lang w:eastAsia="en-US"/>
        </w:rPr>
      </w:pPr>
      <w:r>
        <w:rPr>
          <w:lang w:eastAsia="en-US"/>
        </w:rPr>
        <w:t>In der wissenschaftlichen Literatur von Phillips, Shi und Yu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Aus der Perspektive der Systemarchitektur weist dieses Verfahren für den operativen Echtzeiteinsatz jedoch signifikante informationstechnische Einschränkungen auf. Bootstrapping erfordert die stetige, tausendfache Resimulation von Preispfaden für jeden einzelnen Handelstag. In einem Backtesting-Framework, das historische Daten über 20 Jahre (ca. 5000 Handelstage) für mehrere Basiswerte auswertet, führt dies zu einer massiven Zunahme der Rechenlast. Wie Milunovich, Shi und Tan (2019) für die Echtzeiterkennung von Blasen (Real-Time Detection)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80" w:name="_Toc229904508"/>
      <w:r>
        <w:rPr>
          <w:lang w:eastAsia="en-US"/>
        </w:rPr>
        <w:t>Dynamische Quantile und asymmetrische Exit-Logik</w:t>
      </w:r>
      <w:bookmarkEnd w:id="80"/>
    </w:p>
    <w:p w14:paraId="621D7803" w14:textId="32269771" w:rsidR="00B80301" w:rsidRDefault="00B80301" w:rsidP="00B80301">
      <w:pPr>
        <w:rPr>
          <w:lang w:eastAsia="en-US"/>
        </w:rPr>
      </w:pPr>
      <w:r>
        <w:rPr>
          <w:lang w:eastAsia="en-US"/>
        </w:rPr>
        <w:t xml:space="preserve">In der V7-Konfiguration wird der kritische </w:t>
      </w:r>
      <m:oMath>
        <m:r>
          <m:rPr>
            <m:sty m:val="p"/>
          </m:rPr>
          <w:rPr>
            <w:rFonts w:ascii="Cambria Math" w:hAnsi="Cambria Math"/>
          </w:rPr>
          <m:t>BSADF</m:t>
        </m:r>
      </m:oMath>
      <w:r>
        <w:rPr>
          <w:lang w:eastAsia="en-US"/>
        </w:rPr>
        <w:t xml:space="preserve">-Wert durch ein einmal pre-computed Wild-Bootstrap-Quantil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lang w:eastAsia="en-US"/>
        </w:rPr>
        <w:t xml:space="preserve"> ersetzt: 5'000 Random-Walk-Pfade mit Rademacher-Wild-Schock und empirischer Volatilität () liefern die kritischen Werte  (Warn) und q (Panik). Diese Schwellen sind ex-post fix und damit nicht prozyklisch. In der V3-Konfiguration passten sich die rollierenden Quantile in Hausse-Phasen mit der Score-Verteilung an, wodurch Panik-Trigger häufig auf Crash-Tage fielen. Um zu verhindern, dass die Schwellenwerte zu Beginn der Zeitreihe durch eine zu geringe Datenbasis erratisch reagieren, durchläuft das System initial eine «Burn-in-Phase». Während dieser ersten 252 Tage werden noch keine Handelssignale generiert, sodass sich eine stabile statistische Baseline bilden kann.</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p.dq94=0.1010q99= 0.9949</m:t>
        </m:r>
      </m:oMath>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w:t>
      </w:r>
      <m:oMath>
        <m:r>
          <m:rPr>
            <m:sty m:val="p"/>
          </m:rPr>
          <w:rPr>
            <w:rFonts w:ascii="Cambria Math" w:hAnsi="Cambria Math"/>
          </w:rPr>
          <m:t>BSADF</m:t>
        </m:r>
      </m:oMath>
      <w:r>
        <w:rPr>
          <w:lang w:eastAsia="en-US"/>
        </w:rPr>
        <w:t>-Teststatistik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unter  zu interpretieren, sondern als adaptive Schwellenwerte mit dem Ziel, die Detektionssensitivität an das aktuelle Volatilitätsregime anzupassen. Diese Designentscheidung wird im Folgenden als methodische Vereinfachung explizit ausgewiesen.</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E733B7B" w14:textId="7B24A4ED" w:rsidR="00D128B6" w:rsidRDefault="008E768E" w:rsidP="00B80301">
      <w:pPr>
        <w:rPr>
          <w:lang w:eastAsia="en-US"/>
        </w:rPr>
      </w:pPr>
      <w:r>
        <w:rPr>
          <w:lang w:eastAsia="en-US"/>
        </w:rPr>
        <w:lastRenderedPageBreak/>
        <w:t xml:space="preserve">Der Algorithmus nutzt absolute Untergrenzen (Floors) von 0.5 für die Warnschwelle und 1.2 für die Panikschwelle, um in Phasen sehr tiefer Marktvolatilität spurious Signale zu vermeiden. Diese Werte sind heuristisch gewählt; eine analytische Herleitung aus der asymptotischen </w:t>
      </w:r>
      <m:oMath>
        <m:r>
          <m:rPr>
            <m:sty m:val="p"/>
          </m:rPr>
          <w:rPr>
            <w:rFonts w:ascii="Cambria Math" w:hAnsi="Cambria Math"/>
          </w:rPr>
          <m:t>BSADF</m:t>
        </m:r>
      </m:oMath>
      <w:r>
        <w:rPr>
          <w:lang w:eastAsia="en-US"/>
        </w:rPr>
        <w:t>-Verteilung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Dieser Ansatz approximiert die operative Dynamik des Bootstrappings und generiert einen Schwellenwert, der sich automatisch an das aktuelle Marktumfeld anpasst. In hochvolatilen Phasen verschiebt sich das Quantil nach oben, was die Rate an Fehlsignalen («False Positives») effektiv reduziert. Überschreitet die Teststatistik diesen dynamischen Schwellenwert, klassifiziert das System die aktuelle Marktphase als explosiv und löst das De-Risking-Regelwerk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Um die Validität der t-Statistik auch unter extremen Regimewechseln sicherzustellen, implementiert diese Arbeit heteroskedastie- und autokorrelationskonsistente Standardfehler (HAC) nach Newey und West (1987). Die Anzahl der HAC-Lags wird gemäss der Newey-West-Empfehlung als  automatisch bestimmt; bei einem Sub-Fenster von n = 178 ergibt dies . Diese Lag-Wahl trägt der typischen Persistenz von Volatilitätsclustern in Finanzzeitreihen Rechnung und vermeidet das Risiko zu kleiner Standardfehler bei zu wenigen Lags.</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r>
          <w:rPr>
            <w:rFonts w:ascii="Cambria Math" w:hAnsi="Cambria Math"/>
            <w:lang w:eastAsia="en-US"/>
          </w:rPr>
          <m:t>q ≈4</m:t>
        </m:r>
      </m:oMath>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8E386F">
        <w:tc>
          <w:tcPr>
            <w:tcW w:w="3068" w:type="dxa"/>
            <w:shd w:val="clear" w:color="auto" w:fill="DAEEF3" w:themeFill="accent5" w:themeFillTint="33"/>
          </w:tcPr>
          <w:p w14:paraId="1769A6B4" w14:textId="39121188" w:rsidR="005C1DA6" w:rsidRPr="00B7468C" w:rsidRDefault="005C1DA6" w:rsidP="00B7468C">
            <w:pPr>
              <w:jc w:val="left"/>
              <w:rPr>
                <w:b/>
                <w:bCs/>
                <w:lang w:eastAsia="en-US"/>
              </w:rPr>
            </w:pPr>
            <w:r>
              <w:rPr>
                <w:b/>
                <w:bCs/>
                <w:lang w:eastAsia="en-US"/>
              </w:rPr>
              <w:t>Merkmal</w:t>
            </w:r>
          </w:p>
        </w:tc>
        <w:tc>
          <w:tcPr>
            <w:tcW w:w="3068" w:type="dxa"/>
            <w:shd w:val="clear" w:color="auto" w:fill="DAEEF3" w:themeFill="accent5" w:themeFillTint="33"/>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shd w:val="clear" w:color="auto" w:fill="DAEEF3" w:themeFill="accent5" w:themeFillTint="33"/>
          </w:tcPr>
          <w:p w14:paraId="1B35DF11" w14:textId="104FA9C6" w:rsidR="005C1DA6" w:rsidRPr="00B7468C" w:rsidRDefault="005C1DA6" w:rsidP="00B7468C">
            <w:pPr>
              <w:jc w:val="left"/>
              <w:rPr>
                <w:b/>
                <w:bCs/>
                <w:lang w:eastAsia="en-US"/>
              </w:rPr>
            </w:pPr>
            <w:r>
              <w:rPr>
                <w:b/>
                <w:bCs/>
                <w:lang w:eastAsia="en-US"/>
              </w:rPr>
              <w:t>Rolling Percentiles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lastRenderedPageBreak/>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0432E020" w:rsidR="000F11D7" w:rsidRDefault="00FE6459" w:rsidP="00DE5342">
      <w:pPr>
        <w:pStyle w:val="Caption"/>
        <w:rPr>
          <w:lang w:eastAsia="en-US"/>
        </w:rPr>
      </w:pPr>
      <w:bookmarkStart w:id="81" w:name="_Toc229904551"/>
      <w:r>
        <w:t xml:space="preserve">Tabelle </w:t>
      </w:r>
      <w:r>
        <w:fldChar w:fldCharType="begin"/>
      </w:r>
      <w:r>
        <w:instrText xml:space="preserve"> SEQ Tabelle \* ARABIC </w:instrText>
      </w:r>
      <w:r>
        <w:fldChar w:fldCharType="separate"/>
      </w:r>
      <w:r>
        <w:rPr>
          <w:noProof/>
        </w:rPr>
        <w:t>1</w:t>
      </w:r>
      <w:r>
        <w:fldChar w:fldCharType="end"/>
      </w:r>
      <w:r>
        <w:t>: Methodischer Vergleich der Schwellenwertbestimmung</w:t>
      </w:r>
      <w:bookmarkEnd w:id="81"/>
    </w:p>
    <w:p w14:paraId="117495B4" w14:textId="0E980F73" w:rsidR="002C25A3" w:rsidRDefault="001B3CD4" w:rsidP="002C25A3">
      <w:pPr>
        <w:pStyle w:val="Heading2"/>
        <w:rPr>
          <w:lang w:eastAsia="en-US"/>
        </w:rPr>
      </w:pPr>
      <w:bookmarkStart w:id="82" w:name="_Toc229904509"/>
      <w:r>
        <w:rPr>
          <w:lang w:eastAsia="en-US"/>
        </w:rPr>
        <w:t>Backtesting-Framework und Handelsregeln</w:t>
      </w:r>
      <w:bookmarkEnd w:id="82"/>
    </w:p>
    <w:p w14:paraId="0A69BCFB" w14:textId="636CC940" w:rsidR="001B3CD4" w:rsidRDefault="001B3CD4" w:rsidP="001B3CD4">
      <w:pPr>
        <w:rPr>
          <w:lang w:eastAsia="en-US"/>
        </w:rPr>
      </w:pPr>
      <w:r>
        <w:rPr>
          <w:lang w:eastAsia="en-US"/>
        </w:rPr>
        <w:t>Um die theoretischen Überlegungen empirisch zu validieren, wird ein quantitatives Backtesting-Framework entwickelt. Das Ziel dieses Frameworks ist es, die sogenannte «Financial Usefulness» (Guenster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3" w:name="_Toc229835358"/>
      <w:bookmarkStart w:id="84" w:name="_Toc229904510"/>
      <w:r>
        <w:rPr>
          <w:lang w:eastAsia="en-US"/>
        </w:rPr>
        <w:t>Iterative Strategieentwicklung: Der Pfad zu Version 7</w:t>
      </w:r>
      <w:bookmarkEnd w:id="83"/>
      <w:bookmarkEnd w:id="84"/>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Data-Snooping methodisch berücksichtigt. Gemäss Lo und MacKinlay (1990) führt das wiederholte Testen von Hypothesen auf demselben Datensatz zwangsläufig zu statistischen Verzerrungen und scheinbar profitablen Mustern, die in der Zukunft oft nicht replizierbar sind. Um dieses Risiko der Überanpassung (Overfitting) zu minimieren, wurde die finale Handelslogik primär innerhalb der kontrollierten, synthetischen Umgebung des Evans-Modells kalibriert. Die anschliessende Anwendung auf die realen Schweizer Marktdaten dient somit als eine Form der Out-of-Sample-Validierung,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(Prototyping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w:t>
      </w:r>
      <m:oMath>
        <m:r>
          <m:rPr>
            <m:sty m:val="p"/>
          </m:rPr>
          <w:rPr>
            <w:rFonts w:ascii="Cambria Math" w:hAnsi="Cambria Math"/>
          </w:rPr>
          <m:t>ADF</m:t>
        </m:r>
      </m:oMath>
      <w:r>
        <w:rPr>
          <w:lang w:eastAsia="en-US"/>
        </w:rPr>
        <w:t>-Regressionen (Fenstergrössen) optimiert, um die in Kapitel 2.5.1 beschriebene Evans-Kritik (fehlerhafte Klassifizierung kollabierender Blasen) zu adressieren. In dieser Phase wurde eine binäre Exit-Logik («Alles oder Nichts») implementiert.</w:t>
      </w:r>
    </w:p>
    <w:p w14:paraId="21163CDB" w14:textId="1E55BFA4" w:rsidR="00C16BDE" w:rsidRDefault="00C16BDE" w:rsidP="00C16BDE">
      <w:pPr>
        <w:pStyle w:val="ListParagraph"/>
        <w:numPr>
          <w:ilvl w:val="0"/>
          <w:numId w:val="40"/>
        </w:numPr>
        <w:rPr>
          <w:lang w:eastAsia="en-US"/>
        </w:rPr>
      </w:pPr>
      <w:r>
        <w:rPr>
          <w:lang w:eastAsia="en-US"/>
        </w:rPr>
        <w:t xml:space="preserve">V5 (Adaptive De-Risking): Die Version 5 markiert einen wesentlichen Entwicklungsschritt durch die Einführung der dynamisch gleitenden Quantile (Rolling </w:t>
      </w:r>
      <w:r>
        <w:rPr>
          <w:lang w:eastAsia="en-US"/>
        </w:rPr>
        <w:lastRenderedPageBreak/>
        <w:t>Percentiles). Anstatt starrer Grenzwerte werden hier das 94 %- und 99 %-Quantil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«Cooldown»-Mechanismus: Wenn das System ein Panik-Signal gibt und aussteigt, zwingt es das Portfolio für mindestens 10 Perioden an die Seitenlinie. Das Ziel war es, bei hoher Volatilität ein ständiges Rein- und Rausspringen (Overtrading) zu verhindern. In der Praxis zeigte sich aber, dass diese starre Wartezeit bei schnellen V-förmigen Erholungen zu hohen Opportunitätskosten führt. Genau aus diesem Grund wurde für die finale Version 7 ein intelligenterer Filter (SMA20)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w:t>
      </w:r>
      <w:r>
        <w:rPr>
          <w:rFonts w:ascii="Consolas" w:hAnsi="Consolas" w:cs="Consolas"/>
          <w:lang w:eastAsia="en-US"/>
        </w:rPr>
        <w:t>SMA20</w:t>
      </w:r>
      <w:r>
        <w:rPr>
          <w:lang w:eastAsia="en-US"/>
        </w:rPr>
        <w:t>).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 xml:space="preserve">Die Strategievergleiche der empirischen Analyse (Kapitel 4) konzentrieren sich auf Buy &amp; Hold, eine einfache </w:t>
      </w:r>
      <w:r>
        <w:rPr>
          <w:rFonts w:ascii="Consolas" w:hAnsi="Consolas" w:cs="Consolas"/>
          <w:lang w:eastAsia="en-US"/>
        </w:rPr>
        <w:t>SMA20</w:t>
      </w:r>
      <w:r>
        <w:rPr>
          <w:lang w:eastAsia="en-US"/>
        </w:rPr>
        <w:t>-Momentum-Strategie und die finale V7-Variante. Die Vorgängerversionen V3 und V5 werden auf den synthetischen Evans-Pfaden in Kapitel 4.1 illustrativ gegenübergestellt; im realen Backtest werden sie nicht erneut ausgewiesen, da die Kalibrierung der V5-spezifischen Cooldown-Logik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A1893E3" w:rsidR="002E0316" w:rsidRPr="00C07722" w:rsidRDefault="002E0316" w:rsidP="002E0316">
      <w:pPr>
        <w:pStyle w:val="Caption"/>
        <w:rPr>
          <w:lang w:eastAsia="en-US"/>
        </w:rPr>
      </w:pPr>
      <w:bookmarkStart w:id="85" w:name="_Toc229904557"/>
      <w:r>
        <w:t xml:space="preserve">Abbildung </w:t>
      </w:r>
      <w:r>
        <w:fldChar w:fldCharType="begin"/>
      </w:r>
      <w:r>
        <w:instrText xml:space="preserve"> SEQ Abbildung \* ARABIC </w:instrText>
      </w:r>
      <w:r>
        <w:fldChar w:fldCharType="separate"/>
      </w:r>
      <w:r>
        <w:rPr>
          <w:noProof/>
        </w:rPr>
        <w:t>2</w:t>
      </w:r>
      <w:r>
        <w:fldChar w:fldCharType="end"/>
      </w:r>
      <w:r>
        <w:t>: Strategievergleich in der Monte Carlo Simulation</w:t>
      </w:r>
      <w:bookmarkEnd w:id="85"/>
    </w:p>
    <w:p w14:paraId="53EAAB42" w14:textId="3B8A1BDC" w:rsidR="001B3CD4" w:rsidRDefault="001B3CD4" w:rsidP="001B3CD4">
      <w:pPr>
        <w:pStyle w:val="Heading3"/>
        <w:rPr>
          <w:lang w:eastAsia="en-US"/>
        </w:rPr>
      </w:pPr>
      <w:bookmarkStart w:id="86" w:name="_Toc229904511"/>
      <w:r>
        <w:rPr>
          <w:lang w:eastAsia="en-US"/>
        </w:rPr>
        <w:t>Rahmenbedingungen und Transaktionskosten</w:t>
      </w:r>
      <w:bookmarkEnd w:id="86"/>
    </w:p>
    <w:p w14:paraId="61BC6AE1" w14:textId="1EE496B9" w:rsidR="001B3CD4" w:rsidRDefault="00577046" w:rsidP="001B3CD4">
      <w:pPr>
        <w:rPr>
          <w:lang w:eastAsia="en-US"/>
        </w:rPr>
      </w:pPr>
      <w:r>
        <w:rPr>
          <w:lang w:eastAsia="en-US"/>
        </w:rPr>
        <w:t xml:space="preserve">Wird das 99-%-Panik-Quantil überschritten, simuliert das Modell einen Flash-Crash-Exit mit einem Slippage-Aufschlag auf den Schlusskurs T. Die in der Hauptergebnistabelle (Tabelle 3) </w:t>
      </w:r>
      <w:r>
        <w:rPr>
          <w:lang w:eastAsia="en-US"/>
        </w:rPr>
        <w:lastRenderedPageBreak/>
        <w:t>verwendeten 2.50 % Panik-Slippage sind explizit als heuristische, plausible Untergrenze zu verstehen: Die mikrostrukturelle Literatur zur Illiquiditätsprämie (Amihud, 2002) und zum nicht-linearen Marktimpact (Bouchaud et al., 2004) legt nahe, dass intratägliche Spread-Aufweitungen plus Overnight-Gaps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2.5 %-Panik-Slippage als Vergleichsanker ausgewiesen, und Kapitel 4.3.3 erweitert die Sensitivität auf den Bereich 2.5 %–15 %. Die Performance-Messung erfolgt durchgehend «Net-of-Fees».</w:t>
      </w:r>
    </w:p>
    <w:p w14:paraId="7FB26F46" w14:textId="318E1242" w:rsidR="00577046" w:rsidRDefault="00577046" w:rsidP="00577046">
      <w:pPr>
        <w:pStyle w:val="Heading3"/>
        <w:rPr>
          <w:lang w:eastAsia="en-US"/>
        </w:rPr>
      </w:pPr>
      <w:bookmarkStart w:id="87" w:name="_Toc229904512"/>
      <w:r>
        <w:rPr>
          <w:lang w:eastAsia="en-US"/>
        </w:rPr>
        <w:t>Die «Riding the Bubble»-Logik (Hold- und Warn-Phase)</w:t>
      </w:r>
      <w:bookmarkEnd w:id="87"/>
    </w:p>
    <w:p w14:paraId="2461D317" w14:textId="629607E4" w:rsidR="00577046" w:rsidRDefault="000F11D7" w:rsidP="00577046">
      <w:pPr>
        <w:rPr>
          <w:lang w:eastAsia="en-US"/>
        </w:rPr>
      </w:pPr>
      <w:r>
        <w:rPr>
          <w:lang w:eastAsia="en-US"/>
        </w:rPr>
        <w:t>Anstatt wie bei klassischen Arbitrage-Strategien sofort Leerverkäufe zu tätigen, wählt dieses Regelwerk einen anderen Weg. Ein sofortiges Shorting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Die Grundallokation sieht vor, dass das Portfolio in Phasen eines normalen Random Walks zu 100 % investiert ist. Überschreitet die Teststatistik das dynamische 94 %-Warn-Quantil, stuft der Algorithmus den Markt in ein überhitztes Regime um. Dieses Signal führt zu einem ersten De-Risking: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8" w:name="_Toc229904513"/>
      <w:r>
        <w:rPr>
          <w:lang w:eastAsia="en-US"/>
        </w:rPr>
        <w:t>Voller Marktaustritt und «Smart Re-Entry»</w:t>
      </w:r>
      <w:bookmarkEnd w:id="88"/>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Die Wahl des 20-Tage-Durchschnitts (</w:t>
      </w:r>
      <w:r>
        <w:rPr>
          <w:rFonts w:ascii="Consolas" w:hAnsi="Consolas" w:cs="Consolas"/>
          <w:lang w:eastAsia="en-US"/>
        </w:rPr>
        <w:t>SMA20</w:t>
      </w:r>
      <w:r>
        <w:rPr>
          <w:lang w:eastAsia="en-US"/>
        </w:rPr>
        <w:t xml:space="preserve">) als Signalgeber für diesen Wiedereinstieg beruht auf der empirischen Abwägung zwischen Reaktionsgeschwindigkeit und Signalstabilität. Der </w:t>
      </w:r>
      <w:r>
        <w:rPr>
          <w:rFonts w:ascii="Consolas" w:hAnsi="Consolas" w:cs="Consolas"/>
          <w:lang w:eastAsia="en-US"/>
        </w:rPr>
        <w:t>SMA20</w:t>
      </w:r>
      <w:r>
        <w:rPr>
          <w:lang w:eastAsia="en-US"/>
        </w:rPr>
        <w:t xml:space="preserve"> entspricht im Finanzmarkt näherungsweise der Anzahl an Handelstagen in einem Kalendermonat und hat sich als robuster Momentum-Indikator etabliert. Ein kürzerer Durchschnitt (z. B. SMA5 oder SMA10) würde in der hochvolatilen Phase nach einem Crash zu viele Fehlsignale («Whipsaws») generieren. Ein längerer Durchschnitt (z. B. SMA200) reagiert hingegen zu träge, was bei raschen Erholungen zu hohen Opportunitätskosten führen würde. Der </w:t>
      </w:r>
      <w:r>
        <w:rPr>
          <w:rFonts w:ascii="Consolas" w:hAnsi="Consolas" w:cs="Consolas"/>
          <w:lang w:eastAsia="en-US"/>
        </w:rPr>
        <w:t>SMA20</w:t>
      </w:r>
      <w:r>
        <w:rPr>
          <w:lang w:eastAsia="en-US"/>
        </w:rPr>
        <w:t xml:space="preserve"> bietet somit den optimalen Kompromiss, um einen neuen Aufwärtstrend zeitnah zu </w:t>
      </w:r>
      <w:r>
        <w:rPr>
          <w:lang w:eastAsia="en-US"/>
        </w:rPr>
        <w:lastRenderedPageBreak/>
        <w:t>bestätigen. In der methodischen Übertragung auf die stochastische Monte-Carlo-Simulation (Kapitel 4.1) wird dieser Parameterwert () beibehalten, wobei er dort aufgrund der monatlichen Datenfrequenz als erweiterter Glättungsfilter fungiert, um die konzeptionelle Mechanik des Re-Entrys unter Laborbedingungen zu validieren.</w:t>
      </w:r>
      <m:oMath>
        <m:r>
          <w:rPr>
            <w:rFonts w:ascii="Cambria Math" w:hAnsi="Cambria Math"/>
            <w:lang w:eastAsia="en-US"/>
          </w:rPr>
          <m:t>n=20</m:t>
        </m:r>
      </m:oMath>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89" w:name="_MON_1839324468"/>
      <w:bookmarkEnd w:id="89"/>
      <w:r>
        <w:rPr>
          <w:rFonts w:ascii="Consolas" w:hAnsi="Consolas" w:cs="Consolas"/>
          <w:sz w:val="18"/>
        </w:rPr>
        <w:t>FUNCTION v7_smart_strategy(prices, bsadf_scores, q_warn, q_panic):</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sma20  &lt;- rolling_mean(prices, 20)</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vol_5d &lt;- rolling_std(log_returns, 5)</w:t>
      </w:r>
    </w:p>
    <w:p w14:paraId="40A82C78" w14:textId="77777777" w:rsidR="00D36EC9" w:rsidRDefault="00D36EC9">
      <w:pPr>
        <w:spacing w:before="0" w:after="0" w:line="240" w:lineRule="auto"/>
        <w:ind w:left="360"/>
        <w:rPr>
          <w:rFonts w:ascii="Consolas" w:hAnsi="Consolas" w:cs="Consolas"/>
          <w:sz w:val="18"/>
        </w:rPr>
      </w:pPr>
    </w:p>
    <w:p w14:paraId="0EBEDEEC" w14:textId="77777777" w:rsidR="00D36EC9" w:rsidRDefault="00D36EC9">
      <w:pPr>
        <w:spacing w:before="0" w:after="0" w:line="240" w:lineRule="auto"/>
        <w:ind w:left="360"/>
        <w:rPr>
          <w:rFonts w:ascii="Consolas" w:hAnsi="Consolas" w:cs="Consolas"/>
          <w:sz w:val="18"/>
        </w:rPr>
      </w:pPr>
      <w:r>
        <w:t xml:space="preserve">    wealth &lt;- 100; prev_w &lt;- 1.0</w:t>
      </w: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2 ... T-1 DO                            # K3: ab t = 2 wegen score[t-2]</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score &lt;- bsadf_scores[t-2]                  # fixe Wild-Bootstrap-Schwellen</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q_warn = q94, q_panic = q99</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PSY-konform: min_window = 178</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max(SMA_WINDOW, MIN_WINDOW, TREND_WINDOW + 2) THEN</w:t>
      </w:r>
    </w:p>
    <w:p w14:paraId="73E1C7E3" w14:textId="77777777" w:rsidR="00D36EC9" w:rsidRDefault="00D36EC9">
      <w:pPr>
        <w:spacing w:before="0" w:after="0" w:line="240" w:lineRule="auto"/>
        <w:ind w:left="360"/>
        <w:rPr>
          <w:rFonts w:ascii="Consolas" w:hAnsi="Consolas" w:cs="Consolas"/>
          <w:sz w:val="18"/>
        </w:rPr>
      </w:pPr>
      <w:r>
        <w:t xml:space="preserve">            target &lt;- 1.0                           # Burn-in</w:t>
      </w: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prev_w == 0.0 THEN                  # Smart Re-Entry</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re_entry &lt;- (score &lt; 0) OR</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(prices[t-2] &gt; sma20[t-2] AND score &lt;= q_panic)</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IF re_entry ELSE 0.0</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score &gt; q_panic THEN                 # K4: Direktionalfilter</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trend_pos &lt;- prices[t-2] &gt; prices[t-2 - 60]</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&lt;- 0.0 IF trend_pos ELSE prev_w</w:t>
      </w:r>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score &gt; q_warn THEN</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&lt;- 0.5                       # Warn (50 %)</w:t>
      </w:r>
    </w:p>
    <w:p w14:paraId="1BBDE9D9" w14:textId="77777777" w:rsidR="00D36EC9" w:rsidRDefault="00D36EC9">
      <w:pPr>
        <w:spacing w:before="0" w:after="0" w:line="240" w:lineRule="auto"/>
        <w:ind w:left="360"/>
        <w:rPr>
          <w:rFonts w:ascii="Consolas" w:hAnsi="Consolas" w:cs="Consolas"/>
          <w:sz w:val="18"/>
        </w:rPr>
      </w:pPr>
      <w:r>
        <w:t xml:space="preserve">            ELSE</w:t>
      </w: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 voll investiert</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D90CA41" w14:textId="77777777" w:rsidR="00D36EC9" w:rsidRDefault="00D36EC9">
      <w:pPr>
        <w:spacing w:before="0" w:after="0" w:line="240" w:lineRule="auto"/>
        <w:ind w:left="360"/>
        <w:rPr>
          <w:rFonts w:ascii="Consolas" w:hAnsi="Consolas" w:cs="Consolas"/>
          <w:sz w:val="18"/>
        </w:rPr>
      </w:pPr>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target != prev_w THEN</w:t>
      </w:r>
    </w:p>
    <w:p w14:paraId="4ECA0619" w14:textId="77777777" w:rsidR="00D36EC9" w:rsidRDefault="00D36EC9">
      <w:pPr>
        <w:spacing w:before="0" w:after="0" w:line="240" w:lineRule="auto"/>
        <w:ind w:left="360"/>
        <w:rPr>
          <w:rFonts w:ascii="Consolas" w:hAnsi="Consolas" w:cs="Consolas"/>
          <w:sz w:val="18"/>
        </w:rPr>
      </w:pPr>
      <w:r>
        <w:t xml:space="preserve">            IF target == 0 AND prev_w &gt; 0 AND score &gt; q_panic THEN</w:t>
      </w: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slip &lt;- clip(0.005 + 2 * vol_5d[t-2], 0.025, 0.20)</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slip                        # dyn. Slippage</w:t>
      </w:r>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transaktions_kosten</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wealth * abs(target - prev_w) * cost</w:t>
      </w:r>
    </w:p>
    <w:p w14:paraId="3DF32E0E" w14:textId="77777777" w:rsidR="00D36EC9" w:rsidRDefault="00000000">
      <w:pPr>
        <w:spacing w:before="0" w:after="0" w:line="240" w:lineRule="auto"/>
        <w:ind w:left="360"/>
        <w:rPr>
          <w:rFonts w:ascii="Consolas" w:hAnsi="Consolas" w:cs="Consolas"/>
          <w:sz w:val="18"/>
        </w:rPr>
      </w:pPr>
      <w:r>
        <w:t xml:space="preserve">        END IF</w:t>
      </w:r>
    </w:p>
    <w:p w14:paraId="353AA1A8" w14:textId="77777777" w:rsidR="00D36EC9" w:rsidRDefault="00000000">
      <w:pPr>
        <w:spacing w:before="0" w:after="0" w:line="240" w:lineRule="auto"/>
        <w:ind w:left="360"/>
        <w:rPr>
          <w:rFonts w:ascii="Consolas" w:hAnsi="Consolas" w:cs="Consolas"/>
          <w:sz w:val="18"/>
        </w:rPr>
      </w:pPr>
      <w:r>
        <w:t xml:space="preserve">        wealth &lt;- wealth * (target*(prices[t]/prices[t-1])</w:t>
      </w:r>
    </w:p>
    <w:p w14:paraId="25588A51" w14:textId="77777777" w:rsidR="00D36EC9" w:rsidRDefault="00000000">
      <w:pPr>
        <w:spacing w:before="0" w:after="0" w:line="240" w:lineRule="auto"/>
        <w:ind w:left="360"/>
        <w:rPr>
          <w:rFonts w:ascii="Consolas" w:hAnsi="Consolas" w:cs="Consolas"/>
          <w:sz w:val="18"/>
        </w:rPr>
      </w:pPr>
      <w:r>
        <w:t xml:space="preserve">                          + (1-target)*(1 + r_free/252))</w:t>
      </w:r>
    </w:p>
    <w:p w14:paraId="50BF0890" w14:textId="77777777" w:rsidR="00D36EC9" w:rsidRDefault="00000000">
      <w:pPr>
        <w:spacing w:before="0" w:after="0" w:line="240" w:lineRule="auto"/>
        <w:ind w:left="360"/>
        <w:rPr>
          <w:rFonts w:ascii="Consolas" w:hAnsi="Consolas" w:cs="Consolas"/>
          <w:sz w:val="18"/>
        </w:rPr>
      </w:pPr>
      <w:r>
        <w:t xml:space="preserve">        prev_w &lt;- target</w:t>
      </w:r>
    </w:p>
    <w:p w14:paraId="4BB84C8F" w14:textId="77777777" w:rsidR="00D36EC9" w:rsidRDefault="00000000">
      <w:pPr>
        <w:spacing w:before="0" w:after="0" w:line="240" w:lineRule="auto"/>
        <w:ind w:left="360"/>
        <w:rPr>
          <w:rFonts w:ascii="Consolas" w:hAnsi="Consolas" w:cs="Consolas"/>
          <w:sz w:val="18"/>
        </w:rPr>
      </w:pPr>
      <w:r>
        <w:t xml:space="preserve">    END FOR</w:t>
      </w:r>
    </w:p>
    <w:p w14:paraId="785DF864" w14:textId="77777777" w:rsidR="00D36EC9" w:rsidRDefault="00000000">
      <w:pPr>
        <w:spacing w:before="0" w:after="0" w:line="240" w:lineRule="auto"/>
        <w:ind w:left="360"/>
        <w:rPr>
          <w:rFonts w:ascii="Consolas" w:hAnsi="Consolas" w:cs="Consolas"/>
          <w:sz w:val="18"/>
        </w:rPr>
      </w:pPr>
      <w:r>
        <w:t xml:space="preserve">    RETURN wealth-Pfad</w:t>
      </w:r>
    </w:p>
    <w:p w14:paraId="480F0A7D" w14:textId="77777777" w:rsidR="00D36EC9" w:rsidRDefault="00000000">
      <w:pPr>
        <w:spacing w:before="0" w:after="0" w:line="240" w:lineRule="auto"/>
        <w:ind w:left="360"/>
        <w:rPr>
          <w:rFonts w:ascii="Consolas" w:hAnsi="Consolas" w:cs="Consolas"/>
          <w:sz w:val="18"/>
        </w:rPr>
      </w:pPr>
      <w: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prices[t−2], die Periode-Rendite ist die Rendite </w:t>
      </w:r>
      <w:r>
        <w:rPr>
          <w:rFonts w:ascii="Consolas" w:hAnsi="Consolas" w:cs="Consolas"/>
        </w:rPr>
        <w:t>prices[t]</w:t>
      </w:r>
      <w:r>
        <w:t xml:space="preserve">/prices[t−1] (Observe Close t−2 → Market-on-Close-Order für t−1 → Hold over Day t). Damit liegt mindestens ein voller Handelstag zwischen Signal-Bildung und Ausführung. Zur systematischen Nachvollziehbarkeit sind die definierten Zustände in der </w:t>
      </w:r>
      <w:r>
        <w:lastRenderedPageBreak/>
        <w:t>nachfolgenden Entscheidungsmatrix zusammengefasst. Inspiriert vom «Three-Regime Model» von Brooks und Katsaris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8E386F">
        <w:tc>
          <w:tcPr>
            <w:tcW w:w="2179" w:type="dxa"/>
            <w:shd w:val="clear" w:color="auto" w:fill="DAEEF3" w:themeFill="accent5" w:themeFillTint="33"/>
          </w:tcPr>
          <w:p w14:paraId="1D9C344F" w14:textId="166916CE" w:rsidR="000F11D7" w:rsidRPr="000F11D7" w:rsidRDefault="000F11D7" w:rsidP="000F11D7">
            <w:pPr>
              <w:jc w:val="left"/>
              <w:rPr>
                <w:b/>
                <w:bCs/>
              </w:rPr>
            </w:pPr>
            <w:r>
              <w:rPr>
                <w:b/>
                <w:bCs/>
              </w:rPr>
              <w:t>Marktregime</w:t>
            </w:r>
          </w:p>
        </w:tc>
        <w:tc>
          <w:tcPr>
            <w:tcW w:w="1978" w:type="dxa"/>
            <w:shd w:val="clear" w:color="auto" w:fill="DAEEF3" w:themeFill="accent5" w:themeFillTint="33"/>
          </w:tcPr>
          <w:p w14:paraId="0C8F8196" w14:textId="536D621A" w:rsidR="000F11D7" w:rsidRPr="000F11D7" w:rsidRDefault="000F11D7" w:rsidP="000F11D7">
            <w:pPr>
              <w:jc w:val="left"/>
              <w:rPr>
                <w:b/>
                <w:bCs/>
              </w:rPr>
            </w:pPr>
            <w:r>
              <w:rPr>
                <w:b/>
                <w:bCs/>
              </w:rPr>
              <w:t>Bedingung (Trigger)</w:t>
            </w:r>
          </w:p>
        </w:tc>
        <w:tc>
          <w:tcPr>
            <w:tcW w:w="1850" w:type="dxa"/>
            <w:shd w:val="clear" w:color="auto" w:fill="DAEEF3" w:themeFill="accent5" w:themeFillTint="33"/>
          </w:tcPr>
          <w:p w14:paraId="786B0485" w14:textId="2DFAC7B6" w:rsidR="000F11D7" w:rsidRPr="000F11D7" w:rsidRDefault="000F11D7" w:rsidP="000F11D7">
            <w:pPr>
              <w:jc w:val="left"/>
              <w:rPr>
                <w:b/>
                <w:bCs/>
              </w:rPr>
            </w:pPr>
            <w:r>
              <w:rPr>
                <w:b/>
                <w:bCs/>
              </w:rPr>
              <w:t>Aktienquote</w:t>
            </w:r>
          </w:p>
        </w:tc>
        <w:tc>
          <w:tcPr>
            <w:tcW w:w="1816" w:type="dxa"/>
            <w:shd w:val="clear" w:color="auto" w:fill="DAEEF3" w:themeFill="accent5" w:themeFillTint="33"/>
          </w:tcPr>
          <w:p w14:paraId="3C9968E3" w14:textId="07D480D8" w:rsidR="000F11D7" w:rsidRPr="000F11D7" w:rsidRDefault="000F11D7" w:rsidP="000F11D7">
            <w:pPr>
              <w:jc w:val="left"/>
              <w:rPr>
                <w:b/>
                <w:bCs/>
              </w:rPr>
            </w:pPr>
            <w:r>
              <w:rPr>
                <w:b/>
                <w:bCs/>
              </w:rPr>
              <w:t>Liquidität (Cash)</w:t>
            </w:r>
          </w:p>
        </w:tc>
        <w:tc>
          <w:tcPr>
            <w:tcW w:w="1381" w:type="dxa"/>
            <w:shd w:val="clear" w:color="auto" w:fill="DAEEF3" w:themeFill="accent5" w:themeFillTint="33"/>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5D5A95A4" w:rsidR="000F11D7" w:rsidRDefault="000F11D7" w:rsidP="000F11D7">
            <w:pPr>
              <w:jc w:val="left"/>
            </w:pPr>
            <m:oMath>
              <m:r>
                <m:rPr>
                  <m:sty m:val="p"/>
                </m:rPr>
                <w:rPr>
                  <w:rFonts w:ascii="Cambria Math" w:hAnsi="Cambria Math"/>
                </w:rPr>
                <m:t>BSADF</m:t>
              </m:r>
            </m:oMath>
            <w:r>
              <w:t xml:space="preserve"> &lt; 94 %-Quantil</w:t>
            </w:r>
          </w:p>
        </w:tc>
        <w:tc>
          <w:tcPr>
            <w:tcW w:w="1850" w:type="dxa"/>
          </w:tcPr>
          <w:p w14:paraId="0EB8C2A6" w14:textId="47ED10D1" w:rsidR="000F11D7" w:rsidRDefault="000F11D7" w:rsidP="000F11D7">
            <w:pPr>
              <w:jc w:val="left"/>
            </w:pPr>
            <w:r>
              <w:t>100 %</w:t>
            </w:r>
          </w:p>
        </w:tc>
        <w:tc>
          <w:tcPr>
            <w:tcW w:w="1816" w:type="dxa"/>
          </w:tcPr>
          <w:p w14:paraId="61100D2E" w14:textId="0190E054" w:rsidR="000F11D7" w:rsidRDefault="000F11D7" w:rsidP="000F11D7">
            <w:pPr>
              <w:jc w:val="left"/>
            </w:pPr>
            <w:r>
              <w:t>0 %</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29753DF6" w:rsidR="000F11D7" w:rsidRDefault="000F11D7" w:rsidP="000F11D7">
            <w:pPr>
              <w:jc w:val="left"/>
            </w:pPr>
            <m:oMath>
              <m:r>
                <m:rPr>
                  <m:sty m:val="p"/>
                </m:rPr>
                <w:rPr>
                  <w:rFonts w:ascii="Cambria Math" w:hAnsi="Cambria Math"/>
                </w:rPr>
                <m:t>BSADF</m:t>
              </m:r>
            </m:oMath>
            <w:r>
              <w:t xml:space="preserve"> &gt; 94 %-Quantil</w:t>
            </w:r>
          </w:p>
        </w:tc>
        <w:tc>
          <w:tcPr>
            <w:tcW w:w="1850" w:type="dxa"/>
          </w:tcPr>
          <w:p w14:paraId="7BF44C06" w14:textId="1B1DD72D" w:rsidR="000F11D7" w:rsidRDefault="000F11D7" w:rsidP="000F11D7">
            <w:pPr>
              <w:jc w:val="left"/>
            </w:pPr>
            <w:r>
              <w:t>50 %</w:t>
            </w:r>
          </w:p>
        </w:tc>
        <w:tc>
          <w:tcPr>
            <w:tcW w:w="1816" w:type="dxa"/>
          </w:tcPr>
          <w:p w14:paraId="66157FE8" w14:textId="02C30B5A" w:rsidR="000F11D7" w:rsidRDefault="000F11D7" w:rsidP="000F11D7">
            <w:pPr>
              <w:jc w:val="left"/>
            </w:pPr>
            <w:r>
              <w:t>50 %</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11395165" w:rsidR="000F11D7" w:rsidRDefault="000F11D7" w:rsidP="000F11D7">
            <w:pPr>
              <w:jc w:val="left"/>
            </w:pPr>
            <m:oMath>
              <m:r>
                <m:rPr>
                  <m:sty m:val="p"/>
                </m:rPr>
                <w:rPr>
                  <w:rFonts w:ascii="Cambria Math" w:hAnsi="Cambria Math"/>
                </w:rPr>
                <m:t>BSADF</m:t>
              </m:r>
            </m:oMath>
            <w:r>
              <w:t xml:space="preserve"> &gt; 99 %-Quantil</w:t>
            </w:r>
          </w:p>
        </w:tc>
        <w:tc>
          <w:tcPr>
            <w:tcW w:w="1850" w:type="dxa"/>
          </w:tcPr>
          <w:p w14:paraId="78760BEE" w14:textId="266C7774" w:rsidR="000F11D7" w:rsidRDefault="000F11D7" w:rsidP="000F11D7">
            <w:pPr>
              <w:jc w:val="left"/>
            </w:pPr>
            <w:r>
              <w:t>0 %</w:t>
            </w:r>
          </w:p>
        </w:tc>
        <w:tc>
          <w:tcPr>
            <w:tcW w:w="1816" w:type="dxa"/>
          </w:tcPr>
          <w:p w14:paraId="63B4B08E" w14:textId="6ACB28A2" w:rsidR="000F11D7" w:rsidRDefault="000F11D7" w:rsidP="000F11D7">
            <w:pPr>
              <w:jc w:val="left"/>
            </w:pPr>
            <w:r>
              <w:t>100 %</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m:oMath>
              <m:r>
                <m:rPr>
                  <m:sty m:val="p"/>
                </m:rPr>
                <w:rPr>
                  <w:rFonts w:ascii="Cambria Math" w:hAnsi="Cambria Math"/>
                </w:rPr>
                <m:t>BSADF</m:t>
              </m:r>
            </m:oMath>
            <w:r>
              <w:t xml:space="preserve"> &lt; 0 ODER Kurs &gt; </w:t>
            </w:r>
            <w:r>
              <w:rPr>
                <w:rFonts w:ascii="Consolas" w:hAnsi="Consolas" w:cs="Consolas"/>
              </w:rPr>
              <w:t>SMA20</w:t>
            </w:r>
          </w:p>
        </w:tc>
        <w:tc>
          <w:tcPr>
            <w:tcW w:w="1850" w:type="dxa"/>
          </w:tcPr>
          <w:p w14:paraId="166FEEA4" w14:textId="6B03F3DC" w:rsidR="000F11D7" w:rsidRDefault="000F11D7" w:rsidP="000F11D7">
            <w:pPr>
              <w:jc w:val="left"/>
            </w:pPr>
            <w:r>
              <w:t>100 %</w:t>
            </w:r>
          </w:p>
        </w:tc>
        <w:tc>
          <w:tcPr>
            <w:tcW w:w="1816" w:type="dxa"/>
          </w:tcPr>
          <w:p w14:paraId="5F22C226" w14:textId="72736C85" w:rsidR="000F11D7" w:rsidRDefault="000F11D7" w:rsidP="000F11D7">
            <w:pPr>
              <w:keepNext/>
              <w:jc w:val="left"/>
            </w:pPr>
            <w:r>
              <w:t>0 %</w:t>
            </w:r>
          </w:p>
        </w:tc>
        <w:tc>
          <w:tcPr>
            <w:tcW w:w="1381" w:type="dxa"/>
          </w:tcPr>
          <w:p w14:paraId="35214397" w14:textId="5B55EEFD" w:rsidR="000F11D7" w:rsidRPr="000F11D7" w:rsidRDefault="000F11D7" w:rsidP="000F11D7">
            <w:pPr>
              <w:keepNext/>
              <w:jc w:val="left"/>
              <w:rPr>
                <w:lang w:val="en-US"/>
              </w:rPr>
            </w:pPr>
            <w:r>
              <w:rPr>
                <w:lang w:val="en-US"/>
              </w:rPr>
              <w:t>Opportunitätskosten minimieren</w:t>
            </w:r>
          </w:p>
        </w:tc>
      </w:tr>
    </w:tbl>
    <w:p w14:paraId="452B18A7" w14:textId="4817FDBF" w:rsidR="000F11D7" w:rsidRDefault="000F11D7" w:rsidP="000F11D7">
      <w:pPr>
        <w:pStyle w:val="Caption"/>
      </w:pPr>
      <w:bookmarkStart w:id="90" w:name="_Toc229904552"/>
      <w:r>
        <w:t xml:space="preserve">Tabelle </w:t>
      </w:r>
      <w:r>
        <w:fldChar w:fldCharType="begin"/>
      </w:r>
      <w:r>
        <w:instrText xml:space="preserve"> SEQ Tabelle \* ARABIC </w:instrText>
      </w:r>
      <w:r>
        <w:fldChar w:fldCharType="separate"/>
      </w:r>
      <w:r>
        <w:rPr>
          <w:noProof/>
        </w:rPr>
        <w:t>2</w:t>
      </w:r>
      <w:r>
        <w:fldChar w:fldCharType="end"/>
      </w:r>
      <w:r>
        <w:t>: Entscheidungsmatrix der mehrstufigen Allokationslogik</w:t>
      </w:r>
      <w:bookmarkEnd w:id="90"/>
    </w:p>
    <w:p w14:paraId="76ED603B" w14:textId="000A8C84" w:rsidR="001F2A05" w:rsidRDefault="00DD3C60" w:rsidP="00DD3C60">
      <w:pPr>
        <w:pStyle w:val="Heading2"/>
        <w:rPr>
          <w:lang w:eastAsia="en-US"/>
        </w:rPr>
      </w:pPr>
      <w:bookmarkStart w:id="91" w:name="_Toc229904514"/>
      <w:r>
        <w:rPr>
          <w:lang w:eastAsia="en-US"/>
        </w:rPr>
        <w:t>Performance-Messung und Risikokennzahlen</w:t>
      </w:r>
      <w:bookmarkEnd w:id="91"/>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«Riding the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Katsaris, 2005) herangezogen werden.</w:t>
      </w:r>
    </w:p>
    <w:p w14:paraId="4A3F2AC3" w14:textId="2321AAD9" w:rsidR="006F1D65" w:rsidRDefault="006F1D65" w:rsidP="006F1D65">
      <w:pPr>
        <w:pStyle w:val="Heading3"/>
        <w:rPr>
          <w:lang w:eastAsia="en-US"/>
        </w:rPr>
      </w:pPr>
      <w:bookmarkStart w:id="92" w:name="_Toc229904515"/>
      <w:r>
        <w:rPr>
          <w:lang w:eastAsia="en-US"/>
        </w:rPr>
        <w:t>Renditekennzahlen und Benchmark-Vergleich</w:t>
      </w:r>
      <w:bookmarkEnd w:id="92"/>
    </w:p>
    <w:p w14:paraId="622A4FF0" w14:textId="048F15B0" w:rsidR="006F1D65" w:rsidRDefault="006F1D65" w:rsidP="006F1D65">
      <w:pPr>
        <w:rPr>
          <w:lang w:eastAsia="en-US"/>
        </w:rPr>
      </w:pPr>
      <w:r>
        <w:rPr>
          <w:lang w:eastAsia="en-US"/>
        </w:rPr>
        <w:t>Als primäre Benchmark für die Evaluierung dient eine statische Buy &amp; Hold-Strategie auf denselben Basiswert. Um den langfristigen Vermögensaufbau zu quantifizieren, wird die kumulierte Gesamtrendite («End of Period Wealth») beider Ansätze über den gesamten Beobachtungszeitraum berechnet. Ein Nachweis der ökonomischen Nützlichkeit («Financial Usefulness») ist folglich dann erbracht, wenn die aktive Strategie entweder eine höhere Nettorendite erwirtschaftet oder bei einer vergleichbaren Rendite ein signifikant besseres Risikoprofil (z. B. durch einen massiv reduzierten Drawdown) aufweist.</w:t>
      </w:r>
    </w:p>
    <w:p w14:paraId="783B19B1" w14:textId="5499FA3C" w:rsidR="006F1D65" w:rsidRDefault="006F1D65" w:rsidP="006F1D65">
      <w:pPr>
        <w:pStyle w:val="Heading3"/>
        <w:rPr>
          <w:lang w:eastAsia="en-US"/>
        </w:rPr>
      </w:pPr>
      <w:bookmarkStart w:id="93" w:name="_Toc229904516"/>
      <w:r>
        <w:rPr>
          <w:lang w:eastAsia="en-US"/>
        </w:rPr>
        <w:lastRenderedPageBreak/>
        <w:t>Maximum Drawdown (</w:t>
      </w:r>
      <m:oMath>
        <m:r>
          <m:rPr>
            <m:sty m:val="b"/>
          </m:rPr>
          <w:rPr>
            <w:rFonts w:ascii="Cambria Math" w:hAnsi="Cambria Math"/>
          </w:rPr>
          <m:t>MaxDD</m:t>
        </m:r>
      </m:oMath>
      <w:r>
        <w:rPr>
          <w:lang w:eastAsia="en-US"/>
        </w:rPr>
        <w:t>) als primäres Risikomass</w:t>
      </w:r>
      <w:bookmarkEnd w:id="93"/>
    </w:p>
    <w:p w14:paraId="422584CE" w14:textId="719A2952" w:rsidR="006F1D65" w:rsidRDefault="00962B9D" w:rsidP="006F1D65">
      <w:pPr>
        <w:rPr>
          <w:lang w:eastAsia="en-US"/>
        </w:rPr>
      </w:pPr>
      <w:r>
        <w:rPr>
          <w:lang w:eastAsia="en-US"/>
        </w:rPr>
        <w:t>Da Blasen definitionsgemäss in abrupten und starken Kursrückgängen enden, greifen klassische Risikokennzahlen wie die symmetrische Volatilität oftmals zu kurz. Das Hauptziel der in Kapitel 3.4 programmierten Exit-Logik (Downside-Protection) liegt primär in der Vermeidung von extremen Kapitalverlusten. Daher wird als wichtigste Risikokennzahl der Maximum Drawdown (</w:t>
      </w:r>
      <m:oMath>
        <m:r>
          <m:rPr>
            <m:sty m:val="p"/>
          </m:rPr>
          <w:rPr>
            <w:rFonts w:ascii="Cambria Math" w:hAnsi="Cambria Math"/>
          </w:rPr>
          <m:t>MaxDD</m:t>
        </m:r>
      </m:oMath>
      <w:r>
        <w:rPr>
          <w:lang w:eastAsia="en-US"/>
        </w:rPr>
        <w:t xml:space="preserve">) herangezogen. Dieser misst den grössten historischen Wertverlust eines Portfolios von einem relativen Höchststand (Peak) bis zum darauffolgenden Tiefststand (Trough). Ein erfolgreiches De-Risking in die Liquiditätsposition muss sich empirisch durch eine signifikante Reduktion des </w:t>
      </w:r>
      <m:oMath>
        <m:r>
          <m:rPr>
            <m:sty m:val="p"/>
          </m:rPr>
          <w:rPr>
            <w:rFonts w:ascii="Cambria Math" w:hAnsi="Cambria Math"/>
          </w:rPr>
          <m:t>MaxDD</m:t>
        </m:r>
      </m:oMath>
      <w:r>
        <w:rPr>
          <w:lang w:eastAsia="en-US"/>
        </w:rPr>
        <w:t xml:space="preserve"> gegenüber der Benchmark beweisen lassen.</w:t>
      </w:r>
    </w:p>
    <w:p w14:paraId="2094DBF6" w14:textId="18B6424D" w:rsidR="00962B9D" w:rsidRDefault="00962B9D" w:rsidP="00962B9D">
      <w:pPr>
        <w:pStyle w:val="Heading3"/>
        <w:rPr>
          <w:lang w:eastAsia="en-US"/>
        </w:rPr>
      </w:pPr>
      <w:bookmarkStart w:id="94" w:name="_Toc229904517"/>
      <w:r>
        <w:rPr>
          <w:lang w:eastAsia="en-US"/>
        </w:rPr>
        <w:t>Risikoadjustierte Performance (Sharpe und Calmar Ratio)</w:t>
      </w:r>
      <w:bookmarkEnd w:id="94"/>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Ergänzend zur Sharpe Ratio wird die Calmar Ratio als massgebliche risikoadjustierte Kennzahl herangezogen. Während die Sharpe Ratio die allgemeine Volatilität bestraft (welche bei explosiven Blasen durchaus positiv zur Rendite beitragen kann), setzt die Calmar Ratio die annualisierte Rendite exakt ins Verhältnis zum Maximum Drawdown. Da die entwickelte «Riding the Bubble»-Strategie primär das Extremrisiko (Tail-Risk) minimieren soll, dient die Calmar Ratio als direkter Indikator des Rendite-Drawdown-Trade-offs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5" w:name="_Toc229904518"/>
      <w:r>
        <w:rPr>
          <w:lang w:eastAsia="en-US"/>
        </w:rPr>
        <w:t>Empirische Analyse und Resultate</w:t>
      </w:r>
      <w:bookmarkEnd w:id="95"/>
    </w:p>
    <w:p w14:paraId="1E1AD7CB" w14:textId="3E3346FC" w:rsidR="00816286" w:rsidRDefault="002076F9" w:rsidP="002076F9">
      <w:pPr>
        <w:rPr>
          <w:lang w:eastAsia="en-US"/>
        </w:rPr>
      </w:pPr>
      <w:r>
        <w:rPr>
          <w:lang w:eastAsia="en-US"/>
        </w:rPr>
        <w:t>In diesem Kapitel werden die Ergebnisse des in Kapitel 3 definierten Backtesting-Frameworks präsentiert und kritisch ausgewertet. Das primäre Ziel ist es, die ökonomische Nützlichkeit («Financial Usefulness») der «Riding the Bubble»-Strategie zu überprüfen. Um die in der quantitativen Finanzforschung präsente Gefahr des Overfittings zu minimieren, erfolgt die Analyse in zwei Stufen: Zunächst wird die algorithmische Funktionalität anhand synthetischer Daten validiert (Proof of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6" w:name="_Toc229904519"/>
      <w:r>
        <w:rPr>
          <w:lang w:eastAsia="en-US"/>
        </w:rPr>
        <w:lastRenderedPageBreak/>
        <w:t>Proof of Concept: Validierung im synthetischen Markt</w:t>
      </w:r>
      <w:bookmarkEnd w:id="96"/>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58D67020" w:rsidR="009B5C04" w:rsidRDefault="009B5C04" w:rsidP="009B5C04">
      <w:pPr>
        <w:pStyle w:val="Caption"/>
        <w:rPr>
          <w:lang w:eastAsia="en-US"/>
        </w:rPr>
      </w:pPr>
      <w:bookmarkStart w:id="97" w:name="_Toc229904558"/>
      <w:r>
        <w:t xml:space="preserve">Abbildung </w:t>
      </w:r>
      <w:r>
        <w:fldChar w:fldCharType="begin"/>
      </w:r>
      <w:r>
        <w:instrText xml:space="preserve"> SEQ Abbildung \* ARABIC </w:instrText>
      </w:r>
      <w:r>
        <w:fldChar w:fldCharType="separate"/>
      </w:r>
      <w:r>
        <w:rPr>
          <w:noProof/>
        </w:rPr>
        <w:t>3</w:t>
      </w:r>
      <w:r>
        <w:fldChar w:fldCharType="end"/>
      </w:r>
      <w:r>
        <w:t>: Extremfall Szenario C</w:t>
      </w:r>
      <w:bookmarkEnd w:id="97"/>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  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46F9DC82" w:rsidR="00AE7A1A" w:rsidRPr="009B5C04" w:rsidRDefault="00AE7A1A" w:rsidP="00AE7A1A">
      <w:pPr>
        <w:pStyle w:val="Caption"/>
        <w:rPr>
          <w:lang w:eastAsia="en-US"/>
        </w:rPr>
      </w:pPr>
      <w:bookmarkStart w:id="98" w:name="_Toc229904559"/>
      <w:r>
        <w:t xml:space="preserve">Abbildung </w:t>
      </w:r>
      <w:r>
        <w:fldChar w:fldCharType="begin"/>
      </w:r>
      <w:r>
        <w:instrText xml:space="preserve"> SEQ Abbildung \* ARABIC </w:instrText>
      </w:r>
      <w:r>
        <w:fldChar w:fldCharType="separate"/>
      </w:r>
      <w:r>
        <w:rPr>
          <w:noProof/>
        </w:rPr>
        <w:t>4</w:t>
      </w:r>
      <w:r>
        <w:fldChar w:fldCharType="end"/>
      </w:r>
      <w:r>
        <w:t>: Mittlere Blasenbildung Szenario B</w:t>
      </w:r>
      <w:bookmarkEnd w:id="98"/>
    </w:p>
    <w:p w14:paraId="0650EC0A" w14:textId="77FCE26E" w:rsidR="00014B56" w:rsidRDefault="00014B56" w:rsidP="00014B56">
      <w:pPr>
        <w:pStyle w:val="Heading3"/>
      </w:pPr>
      <w:bookmarkStart w:id="99" w:name="_Toc229904520"/>
      <w:r>
        <w:t>Analyse der Blasendetektion (Ground Truth)</w:t>
      </w:r>
      <w:bookmarkEnd w:id="99"/>
    </w:p>
    <w:p w14:paraId="1A870676" w14:textId="033E2F85" w:rsidR="00DE1A44" w:rsidRDefault="0092242E" w:rsidP="00DE1A44">
      <w:r>
        <w:t>Zur Illustration der Funktionsweise des Systems eignet sich «Szenario C» (Abbildung 3) als simulierter Extremfall. Das oberste Panel (Anatomie) visualisiert den simulierten Preispfad, der zunächst eine Phase des normalen Random Walks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markierte Flächen) ohne erkennbare Latenz mit dem Aufbau der programmierten Evans-Blase im ersten Panel; eine systematische Aussage über die Detektor-Performance erfordert, die in Abschnitt 4.1.1 berichteten aggregierten Kennzahlen. Das System beweist damit, dass es in der Lage ist, die explosive Phase strikt ex-ante und ohne Look-Ahead-Bias signifikant vom Rauschen des Fundamentalwertes zu unterscheiden.</w:t>
      </w:r>
    </w:p>
    <w:p w14:paraId="39689455" w14:textId="77777777" w:rsidR="00304167" w:rsidRDefault="00304167" w:rsidP="00BE4D71">
      <w:pPr>
        <w:pStyle w:val="Heading3"/>
      </w:pPr>
      <w:bookmarkStart w:id="100" w:name="_Toc229904521"/>
      <w:r>
        <w:t>Strategie-Performance und Downside-Protection</w:t>
      </w:r>
      <w:bookmarkEnd w:id="100"/>
    </w:p>
    <w:p w14:paraId="21A2CBF1" w14:textId="25B166ED" w:rsidR="00F729A9" w:rsidRDefault="00F729A9" w:rsidP="00F729A9">
      <w:r>
        <w:t>Das zweite Panel von Abbildung 3 («Performance») visualisiert den massgeblichen ökonomischen Mehrwert des Risikomanagements im Extremfall. Die Benchmark (statische Buy &amp; Hold-Strategie,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«Riding the Bubble»-Strategie (Version 7)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Dieser Mechanismus bewahrt das Portfolio vor dem Kollaps: Die Performance-Kurve verläuft nach dem Marktaustritt horizontal, was den reinen Kapitalschutz ohne zusätzliche Zinserträge im aktuellen Zinsumfeld widerspiegelt. Dieser Proof of Concept belegt mathematisch, dass die programmierte Downside-Protection funktioniert und die Strategie in der Lage ist, extreme Tail-Risiken (Crashes)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101" w:name="_Toc229904522"/>
      <w:r>
        <w:t>Performance im Schweizer Aktienmarkt (SMI/SLI)</w:t>
      </w:r>
      <w:bookmarkEnd w:id="101"/>
    </w:p>
    <w:p w14:paraId="7FE17BEC" w14:textId="3EE6DB2B" w:rsidR="00056825" w:rsidRDefault="001E621D" w:rsidP="00056825">
      <w:r>
        <w:t>Nach der Validierung des Algorithmus im mathematisch kontrollierten Umfeld wird die «Riding the Bubble»-Strategie (Version 7)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(0.15 % pro Trade) empirisch zu evaluieren.</w:t>
      </w:r>
    </w:p>
    <w:p w14:paraId="43501469" w14:textId="20CFED80" w:rsidR="00056825" w:rsidRDefault="00056825" w:rsidP="00056825">
      <w:pPr>
        <w:pStyle w:val="Heading3"/>
      </w:pPr>
      <w:bookmarkStart w:id="102" w:name="_Toc229904523"/>
      <w:r>
        <w:lastRenderedPageBreak/>
        <w:t>Übersicht und Analyse der empirischen Resultate</w:t>
      </w:r>
      <w:bookmarkEnd w:id="102"/>
    </w:p>
    <w:p w14:paraId="3A1B583F" w14:textId="4FC0E8F1" w:rsidR="006818EB" w:rsidRDefault="006818EB" w:rsidP="006818EB">
      <w:r>
        <w:t>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Direktionalfilter») im direkten Vergleich zur passiven «Buy &amp; Hold»-Benchmark sowie zur klassischen Momentum-Strategie unter Berücksichtigung realer Marktreibungen (Transaktionskosten von 0.15 %).</w:t>
      </w:r>
    </w:p>
    <w:p w14:paraId="708026B7" w14:textId="21A86E13" w:rsidR="006818EB" w:rsidRDefault="006818EB" w:rsidP="006818EB">
      <w:r>
        <w:t>Die folgende Tabelle 3 fasst die zentralen Kennzahlen über den Untersuchungszeitraum von 20 Jahren zusammen. Dabei werden neben der kumulierten Nettorendite insbesondere die Risikoparameter (Volatilität und Maximum Drawdown) betrachtet, um eine ganzheitliche Bewertung der Strategiegüte zu ermöglichen. Für die Partners Group wird zusätzlich eine V7-Variante mit fixer 2.5 %-Panik-Slippage als Vergleichsanker ausgewiesen; die Sensitivität gegenüber höheren Slippages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8E386F">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765FF40D" w14:textId="77777777" w:rsidR="00962AA8" w:rsidRDefault="00000000">
            <w:r>
              <w:rPr>
                <w:b/>
              </w:rPr>
              <w:t>Max. Drawdown</w:t>
            </w:r>
          </w:p>
        </w:tc>
        <w:tc>
          <w:tcPr>
            <w:tcW w:w="180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A22823E" w14:textId="77777777" w:rsidR="00962AA8" w:rsidRDefault="00000000">
            <w:r>
              <w:rPr>
                <w:b/>
              </w:rPr>
              <w:t>Calmar</w:t>
            </w:r>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1D9868A9" w:rsidR="00D36EC9" w:rsidRDefault="00000000">
            <w:r>
              <w:t>V7 (dir-Filter, fix 2.5 %)</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3559CE55" w:rsidR="00962AA8" w:rsidRDefault="00D378A9" w:rsidP="008841A1">
            <w:pPr>
              <w:jc w:val="right"/>
            </w:pPr>
            <w:r>
              <w:t>0.01</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62F94F58" w:rsidR="00962AA8" w:rsidRDefault="00000000" w:rsidP="008841A1">
            <w:pPr>
              <w:jc w:val="right"/>
            </w:pPr>
            <w:r>
              <w:t>0.10</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-67.11 %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lastRenderedPageBreak/>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(dir-Filter, dyn. Slippage)</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47EA32AD" w:rsidR="006818EB" w:rsidRDefault="006818EB" w:rsidP="006818EB">
      <w:pPr>
        <w:pStyle w:val="Caption"/>
      </w:pPr>
      <w:bookmarkStart w:id="103" w:name="_Toc229904553"/>
      <w:r>
        <w:t xml:space="preserve">Tabelle </w:t>
      </w:r>
      <w:r>
        <w:fldChar w:fldCharType="begin"/>
      </w:r>
      <w:r>
        <w:instrText xml:space="preserve"> SEQ Tabelle \* ARABIC </w:instrText>
      </w:r>
      <w:r>
        <w:fldChar w:fldCharType="separate"/>
      </w:r>
      <w:r>
        <w:rPr>
          <w:noProof/>
        </w:rPr>
        <w:t>3</w:t>
      </w:r>
      <w:r>
        <w:fldChar w:fldCharType="end"/>
      </w:r>
      <w:r>
        <w:t>: Performance-Vergleich und Risikokennzahlen (Schweizer Aktienmarkt)</w:t>
      </w:r>
      <w:bookmarkEnd w:id="103"/>
    </w:p>
    <w:p w14:paraId="29810321" w14:textId="1D79C705" w:rsidR="006818EB" w:rsidRDefault="0019628D" w:rsidP="006818EB">
      <w:r>
        <w:t>Abbildung 5 und Abbildung 6 visualisieren die Endwerte der verschiedenen Strategien. Die empirische Analyse liefert drei fundamentale Erkenntnisse über die Funktionsweise des PSY-basierten Algorithmus im Schweizer Marktumfeld:</w:t>
      </w:r>
    </w:p>
    <w:p w14:paraId="6A86B4F2" w14:textId="0043ED01" w:rsidR="0019628D" w:rsidRDefault="0019628D" w:rsidP="0019628D">
      <w:pPr>
        <w:pStyle w:val="ListParagraph"/>
        <w:numPr>
          <w:ilvl w:val="0"/>
          <w:numId w:val="47"/>
        </w:numPr>
      </w:pPr>
      <w:r>
        <w:t>Kosteneffizienz und Vermeidung des «Whipsaw-Effekts»: Ein zentrales Ergebnis ist das deutliche Versagen der klassischen Momentum-Strategie (</w:t>
      </w:r>
      <w:r>
        <w:rPr>
          <w:rFonts w:ascii="Consolas" w:hAnsi="Consolas" w:cs="Consolas"/>
        </w:rPr>
        <w:t>SMA20</w:t>
      </w:r>
      <w:r>
        <w:t>) nach Abzug von Transaktionskosten. In volatilen Seitwärtsphasen generiert der Momentum-Ansatz eine hohe Anzahl an Fehlsignalen. Das daraus resultierende «Overtrading» führt durch die kumulierten Gebühren zu einer massiven Erosion des Portfoliowerts (vgl. orangefarbene Balken in Abb. 5 und Abb. 6).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 xml:space="preserve">Asymmetrisches Risikoprofil: Die V7-Strategie zeigt bei der Partners Group eine Drawdown-Differenz von +8.33 Prozentpunkten (V7 −61.11 % vs. B&amp;H −69.44 %). Das 95 %-Bootstrap-Konfidenzintervall (Stationary-Bootstrap mit Strategie-Re-Simulation, B = 100; Wild-Bootstrap-Schwellen aus B = 5'000 Pfaden) liegt unterhalb der 5 %-Grenze (zweiseitiger p-Wert 0.040; siehe Tabelle 4). Die beobachtete Drawdown-Reduktion ist damit mit reinem Stichprobenrauschen verträglich und kann nicht als Evidenz für einen systematischen Crash-Schutz-Effekt der Strategie ausgelegt werden. Bei den übrigen vier Titeln liefert die V7-Strategie den Drawdown im Punktwert (Logitech +3.27 pp, Sika −1.87 pp, Richemont +0.39 pp, Lonza −4.29 pp; jeweils nicht signifikant). In der </w:t>
      </w:r>
      <w:r>
        <w:lastRenderedPageBreak/>
        <w:t>absoluten Nettorendite liefert V7 gegenüber Buy &amp; Hold bei der Partners Group (598.66 % vs. 1459.37 %) sowie bei allen weiteren untersuchten Titeln eine Underperformance.</w:t>
      </w:r>
    </w:p>
    <w:p w14:paraId="26A881B4" w14:textId="0E99220F" w:rsidR="00B90C8E" w:rsidRDefault="0019628D" w:rsidP="00056825">
      <w:pPr>
        <w:pStyle w:val="ListParagraph"/>
        <w:numPr>
          <w:ilvl w:val="0"/>
          <w:numId w:val="47"/>
        </w:numPr>
      </w:pPr>
      <w:r>
        <w:t>Opportunitätskosten in anhaltenden Hausse-Phasen: Bei Titeln mit langen, ungebrochenen Aufwärtstrends (Sika, Logitech) verzeichnet die V7-Strategie eine deutliche Unterperformance gegenüber Buy &amp; Hold. Diese Differenzen sind im Punktwert gross, in beiden Bootstrap-Verfahren jedoch nicht statistisch signifikant von null verschieden; das System verschlechtert deskriptiv die Endrendite, eine statistisch belegbare Schlechter-Stellung ist nicht ableitbar. Eine Lesart dieser Differenzen als Versicherungsprämie ist mit der V7-Konfiguration nur teilweise haltbar: V7 liefert eine statistisch signifikante Drawdown-Reduktion bei Partners Group (p = 0.040) und eine kleinere bei Logitech (+3.27 pp, n.s.), bei Sika und Lonza bleibt der Drawdown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02322BDF">
            <wp:extent cx="5850890" cy="3163570"/>
            <wp:effectExtent l="0" t="0" r="0" b="0"/>
            <wp:docPr id="1752990311" name="Picture 4" descr="A graph of different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  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316C0AE3" w:rsidR="00F72690" w:rsidRDefault="00F72690" w:rsidP="00F72690">
      <w:pPr>
        <w:pStyle w:val="Caption"/>
      </w:pPr>
      <w:bookmarkStart w:id="104" w:name="_Toc229904560"/>
      <w:r>
        <w:t xml:space="preserve">Abbildung </w:t>
      </w:r>
      <w:r>
        <w:fldChar w:fldCharType="begin"/>
      </w:r>
      <w:r>
        <w:instrText xml:space="preserve"> SEQ Abbildung \* ARABIC </w:instrText>
      </w:r>
      <w:r>
        <w:fldChar w:fldCharType="separate"/>
      </w:r>
      <w:r>
        <w:rPr>
          <w:noProof/>
        </w:rPr>
        <w:t>5</w:t>
      </w:r>
      <w:r>
        <w:fldChar w:fldCharType="end"/>
      </w:r>
      <w:r>
        <w:t>: Total Return Vergleich für alle 5 Aktien</w:t>
      </w:r>
      <w:bookmarkEnd w:id="104"/>
    </w:p>
    <w:p w14:paraId="2B1CD5EF" w14:textId="08060156" w:rsidR="00F72690" w:rsidRDefault="00090D0A" w:rsidP="00F72690">
      <w:pPr>
        <w:keepNext/>
      </w:pPr>
      <w:r>
        <w:rPr>
          <w:noProof/>
        </w:rPr>
        <w:lastRenderedPageBreak/>
        <w:drawing>
          <wp:inline distT="0" distB="0" distL="0" distR="0" wp14:anchorId="696DF07F" wp14:editId="05434EC9">
            <wp:extent cx="5850890" cy="3164840"/>
            <wp:effectExtent l="0" t="0" r="0" b="0"/>
            <wp:docPr id="450854349" name="Picture 5" descr="A graph of different colored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  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74A0DDC9" w:rsidR="00F72690" w:rsidRPr="00F72690" w:rsidRDefault="00F72690" w:rsidP="00F72690">
      <w:pPr>
        <w:pStyle w:val="Caption"/>
      </w:pPr>
      <w:bookmarkStart w:id="105" w:name="_Toc229904561"/>
      <w:r>
        <w:t xml:space="preserve">Abbildung </w:t>
      </w:r>
      <w:r>
        <w:fldChar w:fldCharType="begin"/>
      </w:r>
      <w:r>
        <w:instrText xml:space="preserve"> SEQ Abbildung \* ARABIC </w:instrText>
      </w:r>
      <w:r>
        <w:fldChar w:fldCharType="separate"/>
      </w:r>
      <w:r>
        <w:rPr>
          <w:noProof/>
        </w:rPr>
        <w:t>6</w:t>
      </w:r>
      <w:r>
        <w:fldChar w:fldCharType="end"/>
      </w:r>
      <w:r>
        <w:t>: Max Drawdown Vergleich für alle 5 Aktien</w:t>
      </w:r>
      <w:bookmarkEnd w:id="105"/>
    </w:p>
    <w:p w14:paraId="7CB59D04" w14:textId="5C0E6F46" w:rsidR="00F3182F" w:rsidRDefault="00F3182F" w:rsidP="00F3182F">
      <w:pPr>
        <w:pStyle w:val="Heading3"/>
      </w:pPr>
      <w:bookmarkStart w:id="106" w:name="_Toc229904524"/>
      <w:r>
        <w:t>Der Trade-off zwischen Rendite und Downside-Protection</w:t>
      </w:r>
      <w:bookmarkEnd w:id="106"/>
    </w:p>
    <w:p w14:paraId="760CAD5F" w14:textId="0C99E9AF" w:rsidR="00F72690" w:rsidRDefault="001D1DA2" w:rsidP="00F72690">
      <w:r>
        <w:t xml:space="preserve">Die Analyse des Risikoprofils verdeutlicht, dass die </w:t>
      </w:r>
      <w:r>
        <w:rPr>
          <w:rFonts w:ascii="Consolas" w:hAnsi="Consolas" w:cs="Consolas"/>
        </w:rPr>
        <w:t>SMA20</w:t>
      </w:r>
      <w:r>
        <w:t>-Momentum-Strategie zwar bei ausgewählten Titeln den Maximum Drawdown reduziert, dies jedoch mit substanziellen Opportunitätskosten und einer entsprechend tieferen absoluten Rendite einhergeht. Ein illustratives Beispiel ist Richemont (Abbildung 7): Der maximale Drawdown der Momentum-Strategie liegt nach Kosten bei −89.26 %, die kumulierte Nettorendite bei −73.57 %. Dies illustriert empirisch, wie das «Overtrading» einfacher Trendfolgemodelle in Seitwärtsphasen die Bruttorenditen durch akkumulierte Transaktionskosten erodiert.</w:t>
      </w:r>
    </w:p>
    <w:p w14:paraId="15678BA0" w14:textId="77777777" w:rsidR="00546747" w:rsidRDefault="00546747" w:rsidP="00546747">
      <w:pPr>
        <w:keepNext/>
      </w:pPr>
      <w:r>
        <w:rPr>
          <w:noProof/>
        </w:rPr>
        <w:lastRenderedPageBreak/>
        <w:drawing>
          <wp:inline distT="0" distB="0" distL="0" distR="0" wp14:anchorId="26F16468" wp14:editId="624A27FD">
            <wp:extent cx="5850890" cy="6214110"/>
            <wp:effectExtent l="0" t="0" r="0" b="0"/>
            <wp:docPr id="1691689669"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9669" name="Picture 1" descr="A screenshot of a graph  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5A15CDAF" w14:textId="25BE4705" w:rsidR="00546747" w:rsidRDefault="00546747" w:rsidP="00546747">
      <w:pPr>
        <w:pStyle w:val="Caption"/>
      </w:pPr>
      <w:bookmarkStart w:id="107" w:name="_Toc229904562"/>
      <w:r>
        <w:t xml:space="preserve">Abbildung </w:t>
      </w:r>
      <w:r>
        <w:fldChar w:fldCharType="begin"/>
      </w:r>
      <w:r>
        <w:instrText xml:space="preserve"> SEQ Abbildung \* ARABIC </w:instrText>
      </w:r>
      <w:r>
        <w:fldChar w:fldCharType="separate"/>
      </w:r>
      <w:r>
        <w:rPr>
          <w:noProof/>
        </w:rPr>
        <w:t>7</w:t>
      </w:r>
      <w:r>
        <w:fldChar w:fldCharType="end"/>
      </w:r>
      <w:r>
        <w:t>: 4-Panel-Analyse bei Richemont</w:t>
      </w:r>
      <w:bookmarkEnd w:id="107"/>
    </w:p>
    <w:p w14:paraId="3053C3C3" w14:textId="3BC5C8EC" w:rsidR="00850C7A" w:rsidRPr="00850C7A" w:rsidRDefault="001D1DA2" w:rsidP="00850C7A">
      <w:r>
        <w:t xml:space="preserve">Bei Richemont liegt der Drawdown der V7-Strategie nahe an der Buy &amp; Hold-Benchmark (V7: −67.11 % vs. B&amp;H: −67.50 %; </w:t>
      </w:r>
      <m:oMath>
        <m:r>
          <w:rPr>
            <w:rFonts w:ascii="Cambria Math" w:hAnsi="Cambria Math"/>
          </w:rPr>
          <m:t>Δ</m:t>
        </m:r>
      </m:oMath>
      <w:r>
        <w:t xml:space="preserve"> = +0.39 pp, p = 0.680 nicht signifikant); die kumulative Rendite liegt bei 898.37 % praktisch auf dem Niveau von Buy &amp; Hold (957.01 %; </w:t>
      </w:r>
      <m:oMath>
        <m:r>
          <w:rPr>
            <w:rFonts w:ascii="Cambria Math" w:hAnsi="Cambria Math"/>
          </w:rPr>
          <m:t>Δ</m:t>
        </m:r>
      </m:oMath>
      <w:r>
        <w:t xml:space="preserve"> = −58.65 pp, p = 0.97 nicht signifikant). Bei der Partners Group erzielt die V7-Strategie unter dem volatilitätsabhängigen Slippage-Modell eine Nettorendite von 598.66 % gegenüber 1459.37 % bei Buy &amp; Hold (</w:t>
      </w:r>
      <m:oMath>
        <m:r>
          <w:rPr>
            <w:rFonts w:ascii="Cambria Math" w:hAnsi="Cambria Math"/>
          </w:rPr>
          <m:t>Δ</m:t>
        </m:r>
      </m:oMath>
      <w:r>
        <w:t xml:space="preserve"> = −860.71 pp, p = 0.920 nicht signifikant). Der Maximum Drawdown ist um 8.33 pp tiefer (−61.11 % gegen −69.44 %); das 95 %-Bootstrap-KI des Stationary-Bootstraps mit Strategie-Re-Simulation streift die Null gerade noch (zweiseitiger p-Wert 0.040, B = 100 </w:t>
      </w:r>
      <w:r>
        <w:lastRenderedPageBreak/>
        <w:t>Stationary-Bootstrap-Pfade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E386F">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9C8D891" w14:textId="77777777" w:rsidR="00850C7A" w:rsidRPr="00850C7A" w:rsidRDefault="00850C7A" w:rsidP="00850C7A">
            <m:oMath>
              <m:r>
                <w:rPr>
                  <w:rFonts w:ascii="Cambria Math" w:hAnsi="Cambria Math"/>
                </w:rPr>
                <m:t>Δ</m:t>
              </m:r>
            </m:oMath>
            <w:r>
              <w:rPr>
                <w:b/>
              </w:rPr>
              <w:t xml:space="preserve"> Total Return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B3BA2CD" w14:textId="77777777" w:rsidR="00850C7A" w:rsidRPr="00850C7A" w:rsidRDefault="00850C7A" w:rsidP="00850C7A">
            <m:oMath>
              <m:r>
                <w:rPr>
                  <w:rFonts w:ascii="Cambria Math" w:hAnsi="Cambria Math"/>
                </w:rPr>
                <m:t>Δ</m:t>
              </m:r>
            </m:oMath>
            <w:r>
              <w:rPr>
                <w:b/>
              </w:rPr>
              <w:t xml:space="preserve"> Max DD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6B4B9DE" w14:textId="77777777" w:rsidR="00850C7A" w:rsidRPr="00850C7A" w:rsidRDefault="00850C7A" w:rsidP="00850C7A">
            <m:oMath>
              <m:r>
                <w:rPr>
                  <w:rFonts w:ascii="Cambria Math" w:hAnsi="Cambria Math"/>
                </w:rPr>
                <m:t>Δ</m:t>
              </m:r>
            </m:oMath>
            <w:r>
              <w:rPr>
                <w:b/>
              </w:rPr>
              <w:t xml:space="preserve"> Sharpe</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9D0E9B">
            <w:pPr>
              <w:keepNext/>
            </w:pPr>
            <w:r>
              <w:t>0.700</w:t>
            </w:r>
          </w:p>
        </w:tc>
      </w:tr>
    </w:tbl>
    <w:p w14:paraId="58FDDAAC" w14:textId="174A2DA2" w:rsidR="009D0E9B" w:rsidRDefault="009D0E9B">
      <w:pPr>
        <w:pStyle w:val="Caption"/>
      </w:pPr>
      <w:bookmarkStart w:id="108" w:name="_Toc229904554"/>
      <w:r>
        <w:t xml:space="preserve">Tabelle </w:t>
      </w:r>
      <w:r>
        <w:fldChar w:fldCharType="begin"/>
      </w:r>
      <w:r>
        <w:instrText xml:space="preserve"> SEQ Tabelle \* ARABIC </w:instrText>
      </w:r>
      <w:r>
        <w:fldChar w:fldCharType="separate"/>
      </w:r>
      <w:r>
        <w:rPr>
          <w:noProof/>
        </w:rPr>
        <w:t>4</w:t>
      </w:r>
      <w:r>
        <w:fldChar w:fldCharType="end"/>
      </w:r>
      <w:r>
        <w:t>: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bookmarkEnd w:id="108"/>
    </w:p>
    <w:p w14:paraId="425A6BB1" w14:textId="2BED2C7A" w:rsidR="00850C7A" w:rsidRPr="00850C7A" w:rsidRDefault="00850C7A" w:rsidP="00850C7A">
      <w:pPr>
        <w:rPr>
          <w:rFonts w:ascii="Consolas" w:hAnsi="Consolas"/>
          <w:sz w:val="20"/>
          <w:szCs w:val="18"/>
        </w:rPr>
      </w:pPr>
      <w:r>
        <w:rPr>
          <w:rFonts w:ascii="Consolas" w:hAnsi="Consolas"/>
          <w:i/>
          <w:sz w:val="20"/>
          <w:szCs w:val="18"/>
        </w:rPr>
        <w:t xml:space="preserve">Lesehilfe: </w:t>
      </w:r>
      <m:oMath>
        <m:r>
          <w:rPr>
            <w:rFonts w:ascii="Cambria Math" w:hAnsi="Cambria Math"/>
          </w:rPr>
          <m:t>Δ</m:t>
        </m:r>
      </m:oMath>
      <w:r>
        <w:rPr>
          <w:rFonts w:ascii="Consolas" w:hAnsi="Consolas"/>
          <w:i/>
          <w:sz w:val="20"/>
          <w:szCs w:val="18"/>
        </w:rPr>
        <w:t xml:space="preserve"> Metric = Wert (V7 dir-Filter dyn. Slippage) − Wert(B&amp;H). Die ausgewiesenen p-Werte stammen aus dem Stationary-Bootstrap mit Strategie-Re-Simulation (B = 100, mittlere Blocklänge 21 d) und werden mit zentrierten Bootstrap-Differenzen berechnet. Bei </w:t>
      </w:r>
      <m:oMath>
        <m:r>
          <w:rPr>
            <w:rFonts w:ascii="Cambria Math" w:hAnsi="Cambria Math"/>
          </w:rPr>
          <m:t>Δ</m:t>
        </m:r>
      </m:oMath>
      <w:r>
        <w:rPr>
          <w:rFonts w:ascii="Consolas" w:hAnsi="Consolas"/>
          <w:i/>
          <w:sz w:val="20"/>
          <w:szCs w:val="18"/>
        </w:rPr>
        <w:t xml:space="preserve"> </w:t>
      </w:r>
      <m:oMath>
        <m:r>
          <m:rPr>
            <m:sty m:val="p"/>
          </m:rPr>
          <w:rPr>
            <w:rFonts w:ascii="Cambria Math" w:hAnsi="Cambria Math"/>
          </w:rPr>
          <m:t>MaxDD</m:t>
        </m:r>
      </m:oMath>
      <w:r>
        <w:rPr>
          <w:rFonts w:ascii="Consolas" w:hAnsi="Consolas"/>
          <w:i/>
          <w:sz w:val="20"/>
          <w:szCs w:val="18"/>
        </w:rPr>
        <w:t xml:space="preserve"> bedeutet ein positiver Wert eine Verbesserung (weniger negativer Drawdown). Auf dem 5 %-Niveau statistisch signifikant ist die Maximum-Drawdown-Verbesserung bei Partners Group (p = 0.040); die in V3 signifikanten Sharpe-Verschlechterungen bei Lonza (V3: p = 0.006) und Sika (V3: p = 0.038) sind in V7 nicht mehr signifikant (Lonza p = 0.070, Sika p = 0.220). Die Code-Basis </w:t>
      </w:r>
      <w:r>
        <w:rPr>
          <w:rFonts w:ascii="Consolas" w:hAnsi="Consolas" w:cs="Consolas"/>
          <w:i/>
          <w:sz w:val="20"/>
          <w:szCs w:val="18"/>
        </w:rPr>
        <w:t>backtest_v7.py</w:t>
      </w:r>
      <w:r>
        <w:rPr>
          <w:rFonts w:ascii="Consolas" w:hAnsi="Consolas"/>
          <w:i/>
          <w:sz w:val="20"/>
          <w:szCs w:val="18"/>
        </w:rPr>
        <w:t xml:space="preserve"> und die Output-Datei </w:t>
      </w:r>
      <w:r>
        <w:rPr>
          <w:rFonts w:ascii="Consolas" w:hAnsi="Consolas" w:cs="Consolas"/>
          <w:i/>
          <w:sz w:val="20"/>
          <w:szCs w:val="18"/>
        </w:rPr>
        <w:t>bootstrap_v7_B5000.json</w:t>
      </w:r>
      <w:r>
        <w:rPr>
          <w:rFonts w:ascii="Consolas" w:hAnsi="Consolas"/>
          <w:i/>
          <w:sz w:val="20"/>
          <w:szCs w:val="18"/>
        </w:rPr>
        <w:t xml:space="preserve"> sind dem Bundle beigelegt.</w:t>
      </w:r>
    </w:p>
    <w:p w14:paraId="6C302E61" w14:textId="77777777" w:rsidR="00850C7A" w:rsidRDefault="00850C7A" w:rsidP="00F72690"/>
    <w:p w14:paraId="302CA8C6" w14:textId="34E2BE31" w:rsidR="00700061" w:rsidRDefault="00B3063C" w:rsidP="004759B3">
      <w:pPr>
        <w:pStyle w:val="Heading3"/>
      </w:pPr>
      <w:bookmarkStart w:id="109" w:name="_Toc229904525"/>
      <w:r>
        <w:t>Opportunitätskosten in anhaltenden Hausse-Phasen</w:t>
      </w:r>
      <w:bookmarkEnd w:id="109"/>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0ABD47D1" w:rsidR="00B3063C" w:rsidRDefault="00B3063C" w:rsidP="00B3063C">
      <w:r>
        <w:t xml:space="preserve">In solchen stetig steigenden Märkten erzielt eine statische Buy &amp; Hold-Strategie konstruktionsbedingt eine hohe absolute Nettorendite, da das Kapital permanent zu 100 % investiert ist und keine Transaktionskosten generiert werden. Die V7-Strategie hingegen identifiziert steile Wachstumsphasen gemäss der Modelllogik zeitweise als explosiv. Das </w:t>
      </w:r>
      <w:r>
        <w:lastRenderedPageBreak/>
        <w:t>System reagiert darauf mit dem vorgesehenen 50 %-Teilverkauf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263F03D8" w:rsidR="00B3063C" w:rsidRPr="00B3063C" w:rsidRDefault="00B3063C" w:rsidP="00B3063C">
      <w:r>
        <w:t>Theoretisch lassen sich solche Opportunitätskosten in Hausse-Phasen als Versicherungsprämie eines Tail-Risk-Hedges interpretieren (Brooks und Katsaris, 2005, beschreiben ein analoges Konzept als «akin to the purchase of a protective put»). Diese Lesart setzt jedoch voraus, dass dem Renditeverzicht eine systematische Reduktion des Extremrisikos gegenübersteht. In der vorliegenden Stichprobe ist diese Voraussetzung gerade nicht erfüllt: V7 reduziert den Max-Drawdown bei Partners Group (</w:t>
      </w:r>
      <m:oMath>
        <m:r>
          <w:rPr>
            <w:rFonts w:ascii="Cambria Math" w:hAnsi="Cambria Math"/>
          </w:rPr>
          <m:t>Δ</m:t>
        </m:r>
      </m:oMath>
      <w:r>
        <w:t xml:space="preserve"> MDD = +8.33 pp, stationary p = 0.040 statistisch signifikant) und bei Logitech (+3.27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±2.7 Prozentpunkten der Buy &amp; Hold-Volatilität (Logitech 33.92 % vs 36.24 %; Sika 28.81 % vs 29.80 %; Richemont 30.98 % vs 31.51 %; Lonza 27.97 % vs 28.71 %; PGHN 26.14 % vs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weiter verfolgt.</w:t>
      </w:r>
    </w:p>
    <w:p w14:paraId="46CE65D2" w14:textId="5A39006C" w:rsidR="00014B56" w:rsidRDefault="007C7D1F" w:rsidP="006C4E28">
      <w:pPr>
        <w:pStyle w:val="Heading2"/>
      </w:pPr>
      <w:bookmarkStart w:id="110" w:name="_Toc229904526"/>
      <w:r>
        <w:t>Deep Dive: Fallstudien einzelner Aktien</w:t>
      </w:r>
      <w:bookmarkEnd w:id="110"/>
    </w:p>
    <w:p w14:paraId="1C9308A5" w14:textId="24D48D23" w:rsidR="00940009" w:rsidRDefault="00CB68EA" w:rsidP="006D07CE">
      <w:r>
        <w:t>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Systematik des Backtestings in der Praxis das intendierte Ziel des kontrollierten «Bubble-Ridings» erreicht.</w:t>
      </w:r>
    </w:p>
    <w:p w14:paraId="5F7A03C1" w14:textId="69C7D743" w:rsidR="00CB68EA" w:rsidRDefault="00CB68EA" w:rsidP="00CB68EA">
      <w:pPr>
        <w:pStyle w:val="Heading3"/>
      </w:pPr>
      <w:bookmarkStart w:id="111" w:name="_Toc229904527"/>
      <w:r>
        <w:t>Der Idealfall: Maximale Partizipation und Crash-Schutz (Partners Group)</w:t>
      </w:r>
      <w:bookmarkEnd w:id="111"/>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lastRenderedPageBreak/>
        <w:drawing>
          <wp:inline distT="0" distB="0" distL="0" distR="0" wp14:anchorId="4D32C9AF" wp14:editId="57F1B9E0">
            <wp:extent cx="5850890" cy="6210935"/>
            <wp:effectExtent l="0" t="0" r="0" b="0"/>
            <wp:docPr id="1819686691" name="Picture 6"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2CFE5A84" w:rsidR="00940009" w:rsidRDefault="001D49AE" w:rsidP="001B45F9">
      <w:pPr>
        <w:pStyle w:val="Caption"/>
      </w:pPr>
      <w:bookmarkStart w:id="112" w:name="_Toc229904563"/>
      <w:r>
        <w:t xml:space="preserve">Abbildung </w:t>
      </w:r>
      <w:r>
        <w:fldChar w:fldCharType="begin"/>
      </w:r>
      <w:r>
        <w:instrText xml:space="preserve"> SEQ Abbildung \* ARABIC </w:instrText>
      </w:r>
      <w:r>
        <w:fldChar w:fldCharType="separate"/>
      </w:r>
      <w:r>
        <w:rPr>
          <w:noProof/>
        </w:rPr>
        <w:t>8</w:t>
      </w:r>
      <w:r>
        <w:fldChar w:fldCharType="end"/>
      </w:r>
      <w:r>
        <w:t>: 4-Panel-Analyse der V7-Strategie bei der Partners Group</w:t>
      </w:r>
      <w:bookmarkEnd w:id="112"/>
    </w:p>
    <w:p w14:paraId="4657B41F" w14:textId="4D22CAE8" w:rsidR="00332CF7" w:rsidRDefault="00560629" w:rsidP="00332CF7">
      <w:r>
        <w:t>Die zeitliche Analyse in Abbildung 8 zeigt, wie der Algorithmus das Timing umsetzt:</w:t>
      </w:r>
    </w:p>
    <w:p w14:paraId="4E3762F0" w14:textId="275A5201" w:rsidR="00332CF7" w:rsidRDefault="00332CF7" w:rsidP="00332CF7">
      <w:pPr>
        <w:pStyle w:val="ListParagraph"/>
        <w:numPr>
          <w:ilvl w:val="0"/>
          <w:numId w:val="42"/>
        </w:numPr>
      </w:pPr>
      <w:r>
        <w:t>Identifikation und Riding-Phase: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(«Riding the Bubble»).</w:t>
      </w:r>
    </w:p>
    <w:p w14:paraId="27468A77" w14:textId="1F5C076A" w:rsidR="00332CF7" w:rsidRDefault="00332CF7" w:rsidP="00332CF7">
      <w:pPr>
        <w:pStyle w:val="ListParagraph"/>
        <w:numPr>
          <w:ilvl w:val="0"/>
          <w:numId w:val="42"/>
        </w:numPr>
      </w:pPr>
      <w:r>
        <w:t xml:space="preserve">Präventives De-Risking (Warnregime): Als die Teststatistik das dynamische 94 %-Quantil durchbricht (markiert durch das erste Warnsignal), führt der Algorithmus den programmierten 50 %-Teilverkauf durch. Dies sichert einen substanziellen Teil der bis </w:t>
      </w:r>
      <w:r>
        <w:lastRenderedPageBreak/>
        <w:t>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 xml:space="preserve">Panik-Exit und Kapitalschutz: Drei Monate vor dem PGHN-Höchststand von CHF 1'655 (5. November 2021) durchbricht die </w:t>
      </w:r>
      <m:oMath>
        <m:r>
          <m:rPr>
            <m:sty m:val="p"/>
          </m:rPr>
          <w:rPr>
            <w:rFonts w:ascii="Cambria Math" w:hAnsi="Cambria Math"/>
          </w:rPr>
          <m:t>BSADF</m:t>
        </m:r>
      </m:oMath>
      <w:r>
        <w:t xml:space="preserve">-Statistik wiederholt die pre-computed Wild-Bootstrap-Schwelle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Direktionalfilter den Panik-Trigger korrekt (Trend zum 17.03.2020 negativ); V7 verzichtet damit auf den in der V3-Konfiguration durchgeführten Trade am COVID-Tiefpunkt zu CHF 554 mit 13.47 % Slippage,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w:t>
      </w:r>
      <w:r>
        <w:rPr>
          <w:rFonts w:ascii="Consolas" w:hAnsi="Consolas" w:cs="Consolas"/>
        </w:rPr>
        <w:t>SMA20</w:t>
      </w:r>
      <w:r>
        <w:t xml:space="preserve">): Der entscheidende Renditebeitrag des </w:t>
      </w:r>
      <w:r>
        <w:rPr>
          <w:rFonts w:ascii="Consolas" w:hAnsi="Consolas" w:cs="Consolas"/>
        </w:rPr>
        <w:t>SMA20</w:t>
      </w:r>
      <w:r>
        <w:t xml:space="preserve">-Filters zeigt sich in der Erholungsphase nach dem Panik-Exit. Anstatt in der Liquiditätsposition zu verharren, identifiziert der Algorithmus durch das Kreuzen des </w:t>
      </w:r>
      <w:r>
        <w:rPr>
          <w:rFonts w:ascii="Consolas" w:hAnsi="Consolas" w:cs="Consolas"/>
        </w:rPr>
        <w:t>SMA20</w:t>
      </w:r>
      <w:r>
        <w:t xml:space="preserve"> einen neuen Aufwärtstrend und schichtet wieder auf 100 % Aktienquote um. V7 erzielt mit 598.66 % Nettorendite eine Underperformance gegenüber Buy &amp; Hold (1459.37 %); die Renditedifferenz ist mit p = 0.920 (Stationary-Bootstrap, B = 100) statistisch nicht signifikant. Die Calmar-Ratio liegt mit 0.169 unter jener von Buy &amp; Hold (0.215); der Mehrwert von V7 bei diesem Titel liegt nicht in der Rendite, sondern in der signifikanten Drawdown-Reduktion (+8.33 pp, p = 0.040).</w:t>
      </w:r>
    </w:p>
    <w:p w14:paraId="4B3B265A" w14:textId="0CEC7094" w:rsidR="007F4FB1" w:rsidRDefault="000C1291" w:rsidP="007F4FB1">
      <w:pPr>
        <w:pStyle w:val="Heading3"/>
      </w:pPr>
      <w:bookmarkStart w:id="113" w:name="_Toc229904528"/>
      <w:r>
        <w:t>Das Hausse-Szenario mit Drawdown-Penalty (Sika AG)</w:t>
      </w:r>
      <w:bookmarkEnd w:id="113"/>
    </w:p>
    <w:p w14:paraId="005182E4" w14:textId="15DF60C0" w:rsidR="000C1291" w:rsidRDefault="000C1291" w:rsidP="000C1291">
      <w:r>
        <w:t>Während das Modell bei spekulativen Übertreibungen (wie bei Partners Group oder Richemont) das Rendite-Risiko-Profil glättet, verdeutlicht die Analyse von Titeln wie der Sika AG die methodischen Opportunitätskosten eines quantitativen Risikomanagements in extremen, langanhaltenden Bullenmärkten.</w:t>
      </w:r>
    </w:p>
    <w:p w14:paraId="4E69C70F" w14:textId="1D79EF91" w:rsidR="001D49AE" w:rsidRDefault="00090D0A" w:rsidP="001D49AE">
      <w:pPr>
        <w:keepNext/>
      </w:pPr>
      <w:r>
        <w:rPr>
          <w:noProof/>
        </w:rPr>
        <w:lastRenderedPageBreak/>
        <w:drawing>
          <wp:inline distT="0" distB="0" distL="0" distR="0" wp14:anchorId="69E85442" wp14:editId="3058C105">
            <wp:extent cx="5850890" cy="6214110"/>
            <wp:effectExtent l="0" t="0" r="0" b="0"/>
            <wp:docPr id="1466301431" name="Picture 7"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  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75057E90" w:rsidR="00796108" w:rsidRDefault="001D49AE" w:rsidP="001B45F9">
      <w:pPr>
        <w:pStyle w:val="Caption"/>
      </w:pPr>
      <w:bookmarkStart w:id="114" w:name="_Toc229904564"/>
      <w:r>
        <w:t xml:space="preserve">Abbildung </w:t>
      </w:r>
      <w:r>
        <w:fldChar w:fldCharType="begin"/>
      </w:r>
      <w:r>
        <w:instrText xml:space="preserve"> SEQ Abbildung \* ARABIC </w:instrText>
      </w:r>
      <w:r>
        <w:fldChar w:fldCharType="separate"/>
      </w:r>
      <w:r>
        <w:rPr>
          <w:noProof/>
        </w:rPr>
        <w:t>9</w:t>
      </w:r>
      <w:r>
        <w:fldChar w:fldCharType="end"/>
      </w:r>
      <w:r>
        <w:t>: 4-Panel-Analyse der V7-Strategie bei der Sika AG</w:t>
      </w:r>
      <w:bookmarkEnd w:id="114"/>
    </w:p>
    <w:p w14:paraId="74D369AC" w14:textId="124132B5" w:rsidR="00796108" w:rsidRDefault="004B465D" w:rsidP="00940009">
      <w:r>
        <w:t>Die zeitliche Analyse in Abbildung 9 zeigt, wie der Algorithmus auf starke Kursanstiege reagiert:</w:t>
      </w:r>
    </w:p>
    <w:p w14:paraId="0EF26AE0" w14:textId="379120FA" w:rsidR="007F32E4" w:rsidRDefault="007F32E4" w:rsidP="007F32E4">
      <w:pPr>
        <w:pStyle w:val="ListParagraph"/>
        <w:numPr>
          <w:ilvl w:val="0"/>
          <w:numId w:val="44"/>
        </w:numPr>
      </w:pPr>
      <w:r>
        <w:t>Signalgenerierung ohne anschliessenden Crash: Der Kurs der Sika AG verzeichnete ab Anfang 2012 einen aussergewöhnlichen, nahezu ungebrochenen Aufwärtstrend. Da der 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t>Auslösung der Exit-Logik: Infolgedessen durchbricht der Score die kritischen Quantile, was den Algorithmus zwingt, die Aktienposition zu reduzieren oder zeitweise vollständig aufzulösen.</w:t>
      </w:r>
    </w:p>
    <w:p w14:paraId="1C7C1677" w14:textId="78055835" w:rsidR="00E0452C" w:rsidRDefault="007F32E4" w:rsidP="007F32E4">
      <w:pPr>
        <w:pStyle w:val="ListParagraph"/>
        <w:numPr>
          <w:ilvl w:val="0"/>
          <w:numId w:val="44"/>
        </w:numPr>
      </w:pPr>
      <w:r>
        <w:lastRenderedPageBreak/>
        <w:t>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SMA20-Filter den Wiedereinstieg signalisierte. Über den gesamten Sample-Zeitraum betrachtet ist diese Einordnung jedoch nicht hinreichend: Sika verzeichnete sowohl in der Globalen Finanzkrise (2008) als auch im Januar 2018 (Saint-Gobain-Dispute) ausgeprägte Drawdowns, die in Summe einen Buy &amp; Hold-Max-Drawdown von −73.6 % erzeugen. Die V7-Strategie erreicht mit −75.5 % einen marginal höheren Max-Drawdown als Buy &amp; Hold ( = −1.87 pp, im Stationary-Bootstrap nicht signifikant; p_MDD = 0.300); das Re-Entry-Timing nach den Panik-Exits war im Sika-Sample nicht systematisch crash-protektiv.</w:t>
      </w:r>
      <m:oMath>
        <m:r>
          <w:rPr>
            <w:rFonts w:ascii="Cambria Math" w:hAnsi="Cambria Math"/>
          </w:rPr>
          <m:t>Δ</m:t>
        </m:r>
      </m:oMath>
    </w:p>
    <w:p w14:paraId="680DB907" w14:textId="57025A35" w:rsidR="00797E46" w:rsidRDefault="00797E46" w:rsidP="00797E46">
      <w:r>
        <w:t xml:space="preserve">Die Sika-Fallstudie illustriert in nüchterner Lesart eine Doppel-Schwäche der V7-Mechanik. Der </w:t>
      </w:r>
      <m:oMath>
        <m:r>
          <m:rPr>
            <m:sty m:val="p"/>
          </m:rPr>
          <w:rPr>
            <w:rFonts w:ascii="Cambria Math" w:hAnsi="Cambria Math"/>
          </w:rPr>
          <m:t>BSADF</m:t>
        </m:r>
      </m:oMath>
      <w:r>
        <w:t>-Detector während des langen Aufwärtstrends ab 2012 wiederholt Panik-Signale. Diese lösen Exits mit Slippage-Kosten aus, ohne dass die anschliessende Phase einen Crash bringt. Daraus entstehen die beobachteten Opportunitätskosten gegenüber Buy &amp; Hold (V7 637.2 % vs. B&amp;H 1'089.5 %). Hinzu kommt, dass V7 bei den ex-post tatsächlich auftretenden Sika-Korrekturen (2008, 2018) nicht systematisch crash-protektiv ist; der V7-Max-Drawdown (−75.5 %) übersteigt den passiven Drawdown (−73.6 %). Die Episode dokumentiert damit konkret, in welchem Sinn die «Versicherungsprämien»-Interpretation für die vorliegende Stichprobe nicht trägt: dem Renditeverzicht steht keine empirisch nachweisbare Drawdown-Reduktion gegenüber.</w:t>
      </w:r>
    </w:p>
    <w:p w14:paraId="72ABB105" w14:textId="7984F180" w:rsidR="005F5A4A" w:rsidRDefault="005F5A4A" w:rsidP="005F5A4A">
      <w:pPr>
        <w:pStyle w:val="Heading3"/>
      </w:pPr>
      <w:bookmarkStart w:id="115" w:name="_Toc229904529"/>
      <w:r>
        <w:t>Sensitivitätsanalyse der Transaktionskosten (Stresstest)</w:t>
      </w:r>
      <w:bookmarkEnd w:id="115"/>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Panik-Slippage (2.5 % – 15.0 %). Letztere ist die kritischere Dimension, da der Panik-Exit zu Stresszeiten erfolgt, in denen das von Abreu und Brunnermeier (2003) beschriebene Synchronisationsrisiko die Marktliquidität reduziert und die Bid-Ask-Spreads materialisierbar weitet (Amihud, 2002).</w:t>
      </w:r>
    </w:p>
    <w:p w14:paraId="1EA08D8E" w14:textId="10EC3E79" w:rsidR="007E7B39" w:rsidRDefault="002B5201" w:rsidP="002B5201">
      <w:r>
        <w:t>Die Ergebnisse am Beispiel der Partners Group sind in der nachfolgenden Tabelle 5 aufgeschlüsselt und veranschaulichen die Sensitivität der Strategie gegenüber Slippage- und Basis-Kosten-Annahmen:</w:t>
      </w:r>
    </w:p>
    <w:p w14:paraId="5920204E" w14:textId="73FCCB16" w:rsidR="000E24A6" w:rsidRDefault="001D1DA2" w:rsidP="000E24A6">
      <w:pPr>
        <w:pStyle w:val="ListParagraph"/>
        <w:numPr>
          <w:ilvl w:val="0"/>
          <w:numId w:val="50"/>
        </w:numPr>
      </w:pPr>
      <w:r>
        <w:t xml:space="preserve">V7-Strategie (Sensitivität gegenüber Slippage): Im Hauptergebnis verwendet die V7-Strategie ein volatilitätsabhängiges Slippage-Modell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clip(0.005 + </w:t>
      </w:r>
      <m:oMath>
        <m:r>
          <w:rPr>
            <w:rFonts w:ascii="Cambria Math" w:hAnsi="Cambria Math"/>
          </w:rPr>
          <m:t>λ</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mit </w:t>
      </w:r>
      <m:oMath>
        <m:r>
          <w:rPr>
            <w:rFonts w:ascii="Cambria Math" w:hAnsi="Cambria Math"/>
          </w:rPr>
          <m:t>λ</m:t>
        </m:r>
      </m:oMath>
      <w:r>
        <w:t xml:space="preserve"> = 2 (Almgren und Chriss (2000) -inspiriert); in der vorliegenden Stichprobe der V7-</w:t>
      </w:r>
      <w:r>
        <w:lastRenderedPageBreak/>
        <w:t xml:space="preserve">Konfiguration ergibt das einen mittleren Panik-Aufschlag im Bereich 3 %–7 % je Titel (siehe </w:t>
      </w:r>
      <w:r>
        <w:rPr>
          <w:rFonts w:ascii="Consolas" w:hAnsi="Consolas" w:cs="Consolas"/>
        </w:rPr>
        <w:t>pghn_trade_audit_v7.csv</w:t>
      </w:r>
      <w:r>
        <w:t xml:space="preserve"> für Detail-Trades je Asset). Tabelle 5 zeigt die parametrische Sensitivität (Partners Group): Bei einer Vervierfachung der regulären Basis-Gebühren (von 0.15 % auf 0.60 %) und fixem 2.5 %-Panik-Slippage sinkt die V7-Rendite moderat von 703.69 % auf 461.51 % (</w:t>
      </w:r>
      <m:oMath>
        <m:r>
          <w:rPr>
            <w:rFonts w:ascii="Cambria Math" w:hAnsi="Cambria Math"/>
          </w:rPr>
          <m:t>Δ</m:t>
        </m:r>
      </m:oMath>
      <w:r>
        <w:t xml:space="preserve">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w:t>
      </w:r>
      <m:oMath>
        <m:r>
          <w:rPr>
            <w:rFonts w:ascii="Cambria Math" w:hAnsi="Cambria Math"/>
          </w:rPr>
          <m:t>λ</m:t>
        </m:r>
      </m:oMath>
      <w:r>
        <w:t xml:space="preserve"> = 2.0) liegt die PGHN-Rendite bei 598.66 %; eine kleine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 zentrale Limitation der Strategie bleibt die Slippage-Realisation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Momentum-Strategie (Problem des Overtradings): Im direkten Vergleich leidet die klassische Momentum-Strategie (</w:t>
      </w:r>
      <w:r>
        <w:rPr>
          <w:rFonts w:ascii="Consolas" w:hAnsi="Consolas" w:cs="Consolas"/>
        </w:rPr>
        <w:t>SMA20</w:t>
      </w:r>
      <w:r>
        <w:t>)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Mom-Gewinnen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(«Financial Usefulness»)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2284"/>
        <w:gridCol w:w="2052"/>
        <w:gridCol w:w="2565"/>
        <w:gridCol w:w="2303"/>
      </w:tblGrid>
      <w:tr w:rsidR="001D0B3D" w14:paraId="389BDC8D" w14:textId="7618B286" w:rsidTr="001D0B3D">
        <w:tc>
          <w:tcPr>
            <w:tcW w:w="2284" w:type="dxa"/>
            <w:shd w:val="clear" w:color="auto" w:fill="DAEEF3" w:themeFill="accent5" w:themeFillTint="33"/>
          </w:tcPr>
          <w:p w14:paraId="7B679100" w14:textId="77777777" w:rsidR="001D0B3D" w:rsidRDefault="001D0B3D">
            <w:r>
              <w:rPr>
                <w:b/>
              </w:rPr>
              <w:t>Basis-Kosten %</w:t>
            </w:r>
          </w:p>
        </w:tc>
        <w:tc>
          <w:tcPr>
            <w:tcW w:w="2052" w:type="dxa"/>
            <w:shd w:val="clear" w:color="auto" w:fill="DAEEF3" w:themeFill="accent5" w:themeFillTint="33"/>
          </w:tcPr>
          <w:p w14:paraId="4F329B85" w14:textId="77777777" w:rsidR="001D0B3D" w:rsidRDefault="001D0B3D">
            <w:r>
              <w:rPr>
                <w:b/>
              </w:rPr>
              <w:t>Panik-Slippage %</w:t>
            </w:r>
          </w:p>
        </w:tc>
        <w:tc>
          <w:tcPr>
            <w:tcW w:w="2565" w:type="dxa"/>
            <w:shd w:val="clear" w:color="auto" w:fill="DAEEF3" w:themeFill="accent5" w:themeFillTint="33"/>
          </w:tcPr>
          <w:p w14:paraId="63851428" w14:textId="77777777" w:rsidR="001D0B3D" w:rsidRDefault="001D0B3D">
            <w:r>
              <w:rPr>
                <w:b/>
              </w:rPr>
              <w:t>V7 Total Return %</w:t>
            </w:r>
          </w:p>
        </w:tc>
        <w:tc>
          <w:tcPr>
            <w:tcW w:w="2303" w:type="dxa"/>
            <w:shd w:val="clear" w:color="auto" w:fill="DAEEF3" w:themeFill="accent5" w:themeFillTint="33"/>
          </w:tcPr>
          <w:p w14:paraId="2C85A495" w14:textId="2535371F" w:rsidR="001D0B3D" w:rsidRDefault="001D0B3D">
            <w:pPr>
              <w:rPr>
                <w:b/>
              </w:rPr>
            </w:pPr>
            <w:r>
              <w:rPr>
                <w:b/>
              </w:rPr>
              <w:t>Momentum Total Return %</w:t>
            </w:r>
          </w:p>
        </w:tc>
      </w:tr>
      <w:tr w:rsidR="001D0B3D" w14:paraId="1C2BA799" w14:textId="1E07C32B" w:rsidTr="001D0B3D">
        <w:tc>
          <w:tcPr>
            <w:tcW w:w="2284" w:type="dxa"/>
          </w:tcPr>
          <w:p w14:paraId="03633061" w14:textId="77777777" w:rsidR="001D0B3D" w:rsidRDefault="001D0B3D" w:rsidP="001D0B3D">
            <w:pPr>
              <w:jc w:val="right"/>
            </w:pPr>
            <w:r>
              <w:t>0.15 %</w:t>
            </w:r>
          </w:p>
        </w:tc>
        <w:tc>
          <w:tcPr>
            <w:tcW w:w="2052" w:type="dxa"/>
          </w:tcPr>
          <w:p w14:paraId="0F43B7A8" w14:textId="77777777" w:rsidR="001D0B3D" w:rsidRDefault="001D0B3D" w:rsidP="001D0B3D">
            <w:pPr>
              <w:jc w:val="right"/>
            </w:pPr>
            <w:r>
              <w:t>2.50 %</w:t>
            </w:r>
          </w:p>
        </w:tc>
        <w:tc>
          <w:tcPr>
            <w:tcW w:w="2565" w:type="dxa"/>
          </w:tcPr>
          <w:p w14:paraId="33E96746" w14:textId="77777777" w:rsidR="001D0B3D" w:rsidRDefault="001D0B3D" w:rsidP="001D0B3D">
            <w:pPr>
              <w:jc w:val="right"/>
            </w:pPr>
            <w:r>
              <w:t>703.69 %</w:t>
            </w:r>
          </w:p>
        </w:tc>
        <w:tc>
          <w:tcPr>
            <w:tcW w:w="2303" w:type="dxa"/>
          </w:tcPr>
          <w:p w14:paraId="2AD716B3" w14:textId="51A0B8AF" w:rsidR="001D0B3D" w:rsidRDefault="001D0B3D" w:rsidP="001D0B3D">
            <w:pPr>
              <w:jc w:val="right"/>
            </w:pPr>
            <w:r w:rsidRPr="001D0B3D">
              <w:t>570.42 %</w:t>
            </w:r>
          </w:p>
        </w:tc>
      </w:tr>
      <w:tr w:rsidR="001D0B3D" w14:paraId="66AC2CAA" w14:textId="188E8ED9" w:rsidTr="001D0B3D">
        <w:tc>
          <w:tcPr>
            <w:tcW w:w="2284" w:type="dxa"/>
          </w:tcPr>
          <w:p w14:paraId="51C950C7" w14:textId="77777777" w:rsidR="001D0B3D" w:rsidRDefault="001D0B3D" w:rsidP="001D0B3D">
            <w:pPr>
              <w:jc w:val="right"/>
            </w:pPr>
            <w:r>
              <w:t>0.15 %</w:t>
            </w:r>
          </w:p>
        </w:tc>
        <w:tc>
          <w:tcPr>
            <w:tcW w:w="2052" w:type="dxa"/>
          </w:tcPr>
          <w:p w14:paraId="332CC4FA" w14:textId="77777777" w:rsidR="001D0B3D" w:rsidRDefault="001D0B3D" w:rsidP="001D0B3D">
            <w:pPr>
              <w:jc w:val="right"/>
            </w:pPr>
            <w:r>
              <w:t>5.00 %</w:t>
            </w:r>
          </w:p>
        </w:tc>
        <w:tc>
          <w:tcPr>
            <w:tcW w:w="2565" w:type="dxa"/>
          </w:tcPr>
          <w:p w14:paraId="578D66C3" w14:textId="77777777" w:rsidR="001D0B3D" w:rsidRDefault="001D0B3D" w:rsidP="001D0B3D">
            <w:pPr>
              <w:jc w:val="right"/>
            </w:pPr>
            <w:r>
              <w:t>482.46 %</w:t>
            </w:r>
          </w:p>
        </w:tc>
        <w:tc>
          <w:tcPr>
            <w:tcW w:w="2303" w:type="dxa"/>
          </w:tcPr>
          <w:p w14:paraId="300AC8B0" w14:textId="5769E084" w:rsidR="001D0B3D" w:rsidRDefault="001D0B3D" w:rsidP="001D0B3D">
            <w:pPr>
              <w:jc w:val="right"/>
            </w:pPr>
            <w:r w:rsidRPr="001D0B3D">
              <w:t>570.42 %</w:t>
            </w:r>
          </w:p>
        </w:tc>
      </w:tr>
      <w:tr w:rsidR="001D0B3D" w14:paraId="154A79AA" w14:textId="28C1E812" w:rsidTr="001D0B3D">
        <w:tc>
          <w:tcPr>
            <w:tcW w:w="2284" w:type="dxa"/>
          </w:tcPr>
          <w:p w14:paraId="763A7030" w14:textId="77777777" w:rsidR="001D0B3D" w:rsidRDefault="001D0B3D" w:rsidP="001D0B3D">
            <w:pPr>
              <w:jc w:val="right"/>
            </w:pPr>
            <w:r>
              <w:t>0.15 %</w:t>
            </w:r>
          </w:p>
        </w:tc>
        <w:tc>
          <w:tcPr>
            <w:tcW w:w="2052" w:type="dxa"/>
          </w:tcPr>
          <w:p w14:paraId="3AEED9FF" w14:textId="77777777" w:rsidR="001D0B3D" w:rsidRDefault="001D0B3D" w:rsidP="001D0B3D">
            <w:pPr>
              <w:jc w:val="right"/>
            </w:pPr>
            <w:r>
              <w:t>10.00 %</w:t>
            </w:r>
          </w:p>
        </w:tc>
        <w:tc>
          <w:tcPr>
            <w:tcW w:w="2565" w:type="dxa"/>
          </w:tcPr>
          <w:p w14:paraId="782DEF83" w14:textId="77777777" w:rsidR="001D0B3D" w:rsidRDefault="001D0B3D" w:rsidP="001D0B3D">
            <w:pPr>
              <w:jc w:val="right"/>
            </w:pPr>
            <w:r>
              <w:t>199.78 %</w:t>
            </w:r>
          </w:p>
        </w:tc>
        <w:tc>
          <w:tcPr>
            <w:tcW w:w="2303" w:type="dxa"/>
          </w:tcPr>
          <w:p w14:paraId="31F0D61A" w14:textId="4C3799F2" w:rsidR="001D0B3D" w:rsidRDefault="001D0B3D" w:rsidP="001D0B3D">
            <w:pPr>
              <w:jc w:val="right"/>
            </w:pPr>
            <w:r w:rsidRPr="001D0B3D">
              <w:t>570.42 %</w:t>
            </w:r>
          </w:p>
        </w:tc>
      </w:tr>
      <w:tr w:rsidR="001D0B3D" w14:paraId="2CD2046A" w14:textId="7F527BEF" w:rsidTr="001D0B3D">
        <w:tc>
          <w:tcPr>
            <w:tcW w:w="2284" w:type="dxa"/>
          </w:tcPr>
          <w:p w14:paraId="652A3903" w14:textId="77777777" w:rsidR="001D0B3D" w:rsidRDefault="001D0B3D" w:rsidP="001D0B3D">
            <w:pPr>
              <w:jc w:val="right"/>
            </w:pPr>
            <w:r>
              <w:t>0.15 %</w:t>
            </w:r>
          </w:p>
        </w:tc>
        <w:tc>
          <w:tcPr>
            <w:tcW w:w="2052" w:type="dxa"/>
          </w:tcPr>
          <w:p w14:paraId="1FDA0228" w14:textId="77777777" w:rsidR="001D0B3D" w:rsidRDefault="001D0B3D" w:rsidP="001D0B3D">
            <w:pPr>
              <w:jc w:val="right"/>
            </w:pPr>
            <w:r>
              <w:t>15.00 %</w:t>
            </w:r>
          </w:p>
        </w:tc>
        <w:tc>
          <w:tcPr>
            <w:tcW w:w="2565" w:type="dxa"/>
          </w:tcPr>
          <w:p w14:paraId="099178C0" w14:textId="77777777" w:rsidR="001D0B3D" w:rsidRDefault="001D0B3D" w:rsidP="001D0B3D">
            <w:pPr>
              <w:jc w:val="right"/>
            </w:pPr>
            <w:r>
              <w:t>49.84 %</w:t>
            </w:r>
          </w:p>
        </w:tc>
        <w:tc>
          <w:tcPr>
            <w:tcW w:w="2303" w:type="dxa"/>
          </w:tcPr>
          <w:p w14:paraId="1A696D86" w14:textId="350E1CD2" w:rsidR="001D0B3D" w:rsidRDefault="001D0B3D" w:rsidP="001D0B3D">
            <w:pPr>
              <w:jc w:val="right"/>
            </w:pPr>
            <w:r w:rsidRPr="001D0B3D">
              <w:t>570.42 %</w:t>
            </w:r>
          </w:p>
        </w:tc>
      </w:tr>
      <w:tr w:rsidR="001D0B3D" w14:paraId="0392D908" w14:textId="599B5E28" w:rsidTr="001D0B3D">
        <w:tc>
          <w:tcPr>
            <w:tcW w:w="2284" w:type="dxa"/>
          </w:tcPr>
          <w:p w14:paraId="100025DC" w14:textId="77777777" w:rsidR="001D0B3D" w:rsidRDefault="001D0B3D" w:rsidP="001D0B3D">
            <w:pPr>
              <w:jc w:val="right"/>
            </w:pPr>
            <w:r>
              <w:lastRenderedPageBreak/>
              <w:t>0.30 %</w:t>
            </w:r>
          </w:p>
        </w:tc>
        <w:tc>
          <w:tcPr>
            <w:tcW w:w="2052" w:type="dxa"/>
          </w:tcPr>
          <w:p w14:paraId="70B92A1B" w14:textId="77777777" w:rsidR="001D0B3D" w:rsidRDefault="001D0B3D" w:rsidP="001D0B3D">
            <w:pPr>
              <w:jc w:val="right"/>
            </w:pPr>
            <w:r>
              <w:t>2.50 %</w:t>
            </w:r>
          </w:p>
        </w:tc>
        <w:tc>
          <w:tcPr>
            <w:tcW w:w="2565" w:type="dxa"/>
          </w:tcPr>
          <w:p w14:paraId="0A914F10" w14:textId="77777777" w:rsidR="001D0B3D" w:rsidRDefault="001D0B3D" w:rsidP="001D0B3D">
            <w:pPr>
              <w:jc w:val="right"/>
            </w:pPr>
            <w:r>
              <w:t>613.22 %</w:t>
            </w:r>
          </w:p>
        </w:tc>
        <w:tc>
          <w:tcPr>
            <w:tcW w:w="2303" w:type="dxa"/>
          </w:tcPr>
          <w:p w14:paraId="38781260" w14:textId="457FA725" w:rsidR="001D0B3D" w:rsidRDefault="001D0B3D" w:rsidP="001D0B3D">
            <w:pPr>
              <w:jc w:val="right"/>
            </w:pPr>
            <w:r w:rsidRPr="001D0B3D">
              <w:t>218.06 %</w:t>
            </w:r>
          </w:p>
        </w:tc>
      </w:tr>
      <w:tr w:rsidR="001D0B3D" w14:paraId="206DE1D8" w14:textId="7165D1A7" w:rsidTr="001D0B3D">
        <w:tc>
          <w:tcPr>
            <w:tcW w:w="2284" w:type="dxa"/>
          </w:tcPr>
          <w:p w14:paraId="339CAE92" w14:textId="77777777" w:rsidR="001D0B3D" w:rsidRDefault="001D0B3D" w:rsidP="001D0B3D">
            <w:pPr>
              <w:jc w:val="right"/>
            </w:pPr>
            <w:r>
              <w:t>0.30 %</w:t>
            </w:r>
          </w:p>
        </w:tc>
        <w:tc>
          <w:tcPr>
            <w:tcW w:w="2052" w:type="dxa"/>
          </w:tcPr>
          <w:p w14:paraId="1CE1E664" w14:textId="77777777" w:rsidR="001D0B3D" w:rsidRDefault="001D0B3D" w:rsidP="001D0B3D">
            <w:pPr>
              <w:jc w:val="right"/>
            </w:pPr>
            <w:r>
              <w:t>5.00 %</w:t>
            </w:r>
          </w:p>
        </w:tc>
        <w:tc>
          <w:tcPr>
            <w:tcW w:w="2565" w:type="dxa"/>
          </w:tcPr>
          <w:p w14:paraId="21504B85" w14:textId="77777777" w:rsidR="001D0B3D" w:rsidRDefault="001D0B3D" w:rsidP="001D0B3D">
            <w:pPr>
              <w:jc w:val="right"/>
            </w:pPr>
            <w:r>
              <w:t>416.89 %</w:t>
            </w:r>
          </w:p>
        </w:tc>
        <w:tc>
          <w:tcPr>
            <w:tcW w:w="2303" w:type="dxa"/>
          </w:tcPr>
          <w:p w14:paraId="6A28D945" w14:textId="6F3D7237" w:rsidR="001D0B3D" w:rsidRDefault="001D0B3D" w:rsidP="001D0B3D">
            <w:pPr>
              <w:jc w:val="right"/>
            </w:pPr>
            <w:r w:rsidRPr="001D0B3D">
              <w:t>218.06 %</w:t>
            </w:r>
          </w:p>
        </w:tc>
      </w:tr>
      <w:tr w:rsidR="001D0B3D" w14:paraId="33264898" w14:textId="3C241198" w:rsidTr="001D0B3D">
        <w:tc>
          <w:tcPr>
            <w:tcW w:w="2284" w:type="dxa"/>
          </w:tcPr>
          <w:p w14:paraId="327DDB9C" w14:textId="77777777" w:rsidR="001D0B3D" w:rsidRDefault="001D0B3D" w:rsidP="001D0B3D">
            <w:pPr>
              <w:jc w:val="right"/>
            </w:pPr>
            <w:r>
              <w:t>0.30 %</w:t>
            </w:r>
          </w:p>
        </w:tc>
        <w:tc>
          <w:tcPr>
            <w:tcW w:w="2052" w:type="dxa"/>
          </w:tcPr>
          <w:p w14:paraId="215EB5BB" w14:textId="77777777" w:rsidR="001D0B3D" w:rsidRDefault="001D0B3D" w:rsidP="001D0B3D">
            <w:pPr>
              <w:jc w:val="right"/>
            </w:pPr>
            <w:r>
              <w:t>10.00 %</w:t>
            </w:r>
          </w:p>
        </w:tc>
        <w:tc>
          <w:tcPr>
            <w:tcW w:w="2565" w:type="dxa"/>
          </w:tcPr>
          <w:p w14:paraId="496E9A67" w14:textId="77777777" w:rsidR="001D0B3D" w:rsidRDefault="001D0B3D" w:rsidP="001D0B3D">
            <w:pPr>
              <w:jc w:val="right"/>
            </w:pPr>
            <w:r>
              <w:t>166.04 %</w:t>
            </w:r>
          </w:p>
        </w:tc>
        <w:tc>
          <w:tcPr>
            <w:tcW w:w="2303" w:type="dxa"/>
          </w:tcPr>
          <w:p w14:paraId="4EC3D2C7" w14:textId="1EA54678" w:rsidR="001D0B3D" w:rsidRDefault="001D0B3D" w:rsidP="001D0B3D">
            <w:pPr>
              <w:jc w:val="right"/>
            </w:pPr>
            <w:r w:rsidRPr="001D0B3D">
              <w:t>218.06 %</w:t>
            </w:r>
          </w:p>
        </w:tc>
      </w:tr>
      <w:tr w:rsidR="001D0B3D" w14:paraId="1977FD44" w14:textId="4979FEF9" w:rsidTr="001D0B3D">
        <w:tc>
          <w:tcPr>
            <w:tcW w:w="2284" w:type="dxa"/>
          </w:tcPr>
          <w:p w14:paraId="5EBBCDA0" w14:textId="77777777" w:rsidR="001D0B3D" w:rsidRDefault="001D0B3D" w:rsidP="001D0B3D">
            <w:pPr>
              <w:jc w:val="right"/>
            </w:pPr>
            <w:r>
              <w:t>0.30 %</w:t>
            </w:r>
          </w:p>
        </w:tc>
        <w:tc>
          <w:tcPr>
            <w:tcW w:w="2052" w:type="dxa"/>
          </w:tcPr>
          <w:p w14:paraId="65CC6E3B" w14:textId="77777777" w:rsidR="001D0B3D" w:rsidRDefault="001D0B3D" w:rsidP="001D0B3D">
            <w:pPr>
              <w:jc w:val="right"/>
            </w:pPr>
            <w:r>
              <w:t>15.00 %</w:t>
            </w:r>
          </w:p>
        </w:tc>
        <w:tc>
          <w:tcPr>
            <w:tcW w:w="2565" w:type="dxa"/>
          </w:tcPr>
          <w:p w14:paraId="6EADB7FB" w14:textId="77777777" w:rsidR="001D0B3D" w:rsidRDefault="001D0B3D" w:rsidP="001D0B3D">
            <w:pPr>
              <w:jc w:val="right"/>
            </w:pPr>
            <w:r>
              <w:t>32.98 %</w:t>
            </w:r>
          </w:p>
        </w:tc>
        <w:tc>
          <w:tcPr>
            <w:tcW w:w="2303" w:type="dxa"/>
          </w:tcPr>
          <w:p w14:paraId="683778C3" w14:textId="4F6BB6E4" w:rsidR="001D0B3D" w:rsidRDefault="001D0B3D" w:rsidP="001D0B3D">
            <w:pPr>
              <w:jc w:val="right"/>
            </w:pPr>
            <w:r w:rsidRPr="001D0B3D">
              <w:t>218.06 %</w:t>
            </w:r>
          </w:p>
        </w:tc>
      </w:tr>
      <w:tr w:rsidR="001D0B3D" w14:paraId="66EBD125" w14:textId="3320B6AB" w:rsidTr="001D0B3D">
        <w:tc>
          <w:tcPr>
            <w:tcW w:w="2284" w:type="dxa"/>
          </w:tcPr>
          <w:p w14:paraId="2B3BCE87" w14:textId="77777777" w:rsidR="001D0B3D" w:rsidRDefault="001D0B3D" w:rsidP="001D0B3D">
            <w:pPr>
              <w:jc w:val="right"/>
            </w:pPr>
            <w:r>
              <w:t>0.45 %</w:t>
            </w:r>
          </w:p>
        </w:tc>
        <w:tc>
          <w:tcPr>
            <w:tcW w:w="2052" w:type="dxa"/>
          </w:tcPr>
          <w:p w14:paraId="306EED0E" w14:textId="77777777" w:rsidR="001D0B3D" w:rsidRDefault="001D0B3D" w:rsidP="001D0B3D">
            <w:pPr>
              <w:jc w:val="right"/>
            </w:pPr>
            <w:r>
              <w:t>2.50 %</w:t>
            </w:r>
          </w:p>
        </w:tc>
        <w:tc>
          <w:tcPr>
            <w:tcW w:w="2565" w:type="dxa"/>
          </w:tcPr>
          <w:p w14:paraId="2A890E06" w14:textId="77777777" w:rsidR="001D0B3D" w:rsidRDefault="001D0B3D" w:rsidP="001D0B3D">
            <w:pPr>
              <w:jc w:val="right"/>
            </w:pPr>
            <w:r>
              <w:t>532.87 %</w:t>
            </w:r>
          </w:p>
        </w:tc>
        <w:tc>
          <w:tcPr>
            <w:tcW w:w="2303" w:type="dxa"/>
          </w:tcPr>
          <w:p w14:paraId="090C9232" w14:textId="482B2969" w:rsidR="001D0B3D" w:rsidRDefault="001D0B3D" w:rsidP="001D0B3D">
            <w:pPr>
              <w:jc w:val="right"/>
            </w:pPr>
            <w:r w:rsidRPr="001D0B3D">
              <w:t>50.72 %</w:t>
            </w:r>
          </w:p>
        </w:tc>
      </w:tr>
      <w:tr w:rsidR="001D0B3D" w14:paraId="16435CCC" w14:textId="425133FF" w:rsidTr="001D0B3D">
        <w:tc>
          <w:tcPr>
            <w:tcW w:w="2284" w:type="dxa"/>
          </w:tcPr>
          <w:p w14:paraId="7FC377E4" w14:textId="77777777" w:rsidR="001D0B3D" w:rsidRDefault="001D0B3D" w:rsidP="001D0B3D">
            <w:pPr>
              <w:jc w:val="right"/>
            </w:pPr>
            <w:r>
              <w:t>0.45 %</w:t>
            </w:r>
          </w:p>
        </w:tc>
        <w:tc>
          <w:tcPr>
            <w:tcW w:w="2052" w:type="dxa"/>
          </w:tcPr>
          <w:p w14:paraId="08DB64E9" w14:textId="77777777" w:rsidR="001D0B3D" w:rsidRDefault="001D0B3D" w:rsidP="001D0B3D">
            <w:pPr>
              <w:jc w:val="right"/>
            </w:pPr>
            <w:r>
              <w:t>5.00 %</w:t>
            </w:r>
          </w:p>
        </w:tc>
        <w:tc>
          <w:tcPr>
            <w:tcW w:w="2565" w:type="dxa"/>
          </w:tcPr>
          <w:p w14:paraId="63BAF484" w14:textId="77777777" w:rsidR="001D0B3D" w:rsidRDefault="001D0B3D" w:rsidP="001D0B3D">
            <w:pPr>
              <w:jc w:val="right"/>
            </w:pPr>
            <w:r>
              <w:t>358.66 %</w:t>
            </w:r>
          </w:p>
        </w:tc>
        <w:tc>
          <w:tcPr>
            <w:tcW w:w="2303" w:type="dxa"/>
          </w:tcPr>
          <w:p w14:paraId="4044A171" w14:textId="17C5F5D4" w:rsidR="001D0B3D" w:rsidRDefault="001D0B3D" w:rsidP="001D0B3D">
            <w:pPr>
              <w:jc w:val="right"/>
            </w:pPr>
            <w:r w:rsidRPr="001D0B3D">
              <w:t>50.72 %</w:t>
            </w:r>
          </w:p>
        </w:tc>
      </w:tr>
      <w:tr w:rsidR="001D0B3D" w14:paraId="78173CB5" w14:textId="23F243CB" w:rsidTr="001D0B3D">
        <w:tc>
          <w:tcPr>
            <w:tcW w:w="2284" w:type="dxa"/>
          </w:tcPr>
          <w:p w14:paraId="314BC6B7" w14:textId="77777777" w:rsidR="001D0B3D" w:rsidRDefault="001D0B3D" w:rsidP="001D0B3D">
            <w:pPr>
              <w:jc w:val="right"/>
            </w:pPr>
            <w:r>
              <w:t>0.45 %</w:t>
            </w:r>
          </w:p>
        </w:tc>
        <w:tc>
          <w:tcPr>
            <w:tcW w:w="2052" w:type="dxa"/>
          </w:tcPr>
          <w:p w14:paraId="431334B2" w14:textId="77777777" w:rsidR="001D0B3D" w:rsidRDefault="001D0B3D" w:rsidP="001D0B3D">
            <w:pPr>
              <w:jc w:val="right"/>
            </w:pPr>
            <w:r>
              <w:t>10.00 %</w:t>
            </w:r>
          </w:p>
        </w:tc>
        <w:tc>
          <w:tcPr>
            <w:tcW w:w="2565" w:type="dxa"/>
          </w:tcPr>
          <w:p w14:paraId="52D95ED0" w14:textId="77777777" w:rsidR="001D0B3D" w:rsidRDefault="001D0B3D" w:rsidP="001D0B3D">
            <w:pPr>
              <w:jc w:val="right"/>
            </w:pPr>
            <w:r>
              <w:t>136.07 %</w:t>
            </w:r>
          </w:p>
        </w:tc>
        <w:tc>
          <w:tcPr>
            <w:tcW w:w="2303" w:type="dxa"/>
          </w:tcPr>
          <w:p w14:paraId="201F9120" w14:textId="34D14F72" w:rsidR="001D0B3D" w:rsidRDefault="001D0B3D" w:rsidP="001D0B3D">
            <w:pPr>
              <w:jc w:val="right"/>
            </w:pPr>
            <w:r w:rsidRPr="001D0B3D">
              <w:t>50.72 %</w:t>
            </w:r>
          </w:p>
        </w:tc>
      </w:tr>
      <w:tr w:rsidR="001D0B3D" w14:paraId="2F7DEEEB" w14:textId="760F2BF3" w:rsidTr="001D0B3D">
        <w:tc>
          <w:tcPr>
            <w:tcW w:w="2284" w:type="dxa"/>
          </w:tcPr>
          <w:p w14:paraId="2E80E238" w14:textId="77777777" w:rsidR="001D0B3D" w:rsidRDefault="001D0B3D" w:rsidP="001D0B3D">
            <w:pPr>
              <w:jc w:val="right"/>
            </w:pPr>
            <w:r>
              <w:t>0.45 %</w:t>
            </w:r>
          </w:p>
        </w:tc>
        <w:tc>
          <w:tcPr>
            <w:tcW w:w="2052" w:type="dxa"/>
          </w:tcPr>
          <w:p w14:paraId="21733891" w14:textId="77777777" w:rsidR="001D0B3D" w:rsidRDefault="001D0B3D" w:rsidP="001D0B3D">
            <w:pPr>
              <w:jc w:val="right"/>
            </w:pPr>
            <w:r>
              <w:t>15.00 %</w:t>
            </w:r>
          </w:p>
        </w:tc>
        <w:tc>
          <w:tcPr>
            <w:tcW w:w="2565" w:type="dxa"/>
          </w:tcPr>
          <w:p w14:paraId="5C4DCB52" w14:textId="77777777" w:rsidR="001D0B3D" w:rsidRDefault="001D0B3D" w:rsidP="001D0B3D">
            <w:pPr>
              <w:jc w:val="right"/>
            </w:pPr>
            <w:r>
              <w:t>18.00 %</w:t>
            </w:r>
          </w:p>
        </w:tc>
        <w:tc>
          <w:tcPr>
            <w:tcW w:w="2303" w:type="dxa"/>
          </w:tcPr>
          <w:p w14:paraId="3F15F360" w14:textId="2CD97155" w:rsidR="001D0B3D" w:rsidRDefault="001D0B3D" w:rsidP="001D0B3D">
            <w:pPr>
              <w:jc w:val="right"/>
            </w:pPr>
            <w:r w:rsidRPr="001D0B3D">
              <w:t>50.72 %</w:t>
            </w:r>
          </w:p>
        </w:tc>
      </w:tr>
      <w:tr w:rsidR="001D0B3D" w14:paraId="07F313A9" w14:textId="48268B82" w:rsidTr="001D0B3D">
        <w:tc>
          <w:tcPr>
            <w:tcW w:w="2284" w:type="dxa"/>
          </w:tcPr>
          <w:p w14:paraId="0D4376F4" w14:textId="77777777" w:rsidR="001D0B3D" w:rsidRDefault="001D0B3D" w:rsidP="001D0B3D">
            <w:pPr>
              <w:jc w:val="right"/>
            </w:pPr>
            <w:r>
              <w:t>0.60 %</w:t>
            </w:r>
          </w:p>
        </w:tc>
        <w:tc>
          <w:tcPr>
            <w:tcW w:w="2052" w:type="dxa"/>
          </w:tcPr>
          <w:p w14:paraId="7037305A" w14:textId="77777777" w:rsidR="001D0B3D" w:rsidRDefault="001D0B3D" w:rsidP="001D0B3D">
            <w:pPr>
              <w:jc w:val="right"/>
            </w:pPr>
            <w:r>
              <w:t>2.50 %</w:t>
            </w:r>
          </w:p>
        </w:tc>
        <w:tc>
          <w:tcPr>
            <w:tcW w:w="2565" w:type="dxa"/>
          </w:tcPr>
          <w:p w14:paraId="1046D200" w14:textId="77777777" w:rsidR="001D0B3D" w:rsidRDefault="001D0B3D" w:rsidP="001D0B3D">
            <w:pPr>
              <w:jc w:val="right"/>
            </w:pPr>
            <w:r>
              <w:t>461.51 %</w:t>
            </w:r>
          </w:p>
        </w:tc>
        <w:tc>
          <w:tcPr>
            <w:tcW w:w="2303" w:type="dxa"/>
          </w:tcPr>
          <w:p w14:paraId="09C2C7B5" w14:textId="741066C0" w:rsidR="001D0B3D" w:rsidRDefault="001D0B3D" w:rsidP="001D0B3D">
            <w:pPr>
              <w:jc w:val="right"/>
            </w:pPr>
            <w:r w:rsidRPr="001D0B3D">
              <w:t>−28.66 %</w:t>
            </w:r>
          </w:p>
        </w:tc>
      </w:tr>
      <w:tr w:rsidR="001D0B3D" w14:paraId="67EA5A85" w14:textId="10741731" w:rsidTr="001D0B3D">
        <w:tc>
          <w:tcPr>
            <w:tcW w:w="2284" w:type="dxa"/>
          </w:tcPr>
          <w:p w14:paraId="1345DCB7" w14:textId="77777777" w:rsidR="001D0B3D" w:rsidRDefault="001D0B3D" w:rsidP="001D0B3D">
            <w:pPr>
              <w:jc w:val="right"/>
            </w:pPr>
            <w:r>
              <w:t>0.60 %</w:t>
            </w:r>
          </w:p>
        </w:tc>
        <w:tc>
          <w:tcPr>
            <w:tcW w:w="2052" w:type="dxa"/>
          </w:tcPr>
          <w:p w14:paraId="7A31134C" w14:textId="77777777" w:rsidR="001D0B3D" w:rsidRDefault="001D0B3D" w:rsidP="001D0B3D">
            <w:pPr>
              <w:jc w:val="right"/>
            </w:pPr>
            <w:r>
              <w:t>5.00 %</w:t>
            </w:r>
          </w:p>
        </w:tc>
        <w:tc>
          <w:tcPr>
            <w:tcW w:w="2565" w:type="dxa"/>
          </w:tcPr>
          <w:p w14:paraId="47BE3B00" w14:textId="77777777" w:rsidR="001D0B3D" w:rsidRDefault="001D0B3D" w:rsidP="001D0B3D">
            <w:pPr>
              <w:jc w:val="right"/>
            </w:pPr>
            <w:r>
              <w:t>306.94 %</w:t>
            </w:r>
          </w:p>
        </w:tc>
        <w:tc>
          <w:tcPr>
            <w:tcW w:w="2303" w:type="dxa"/>
          </w:tcPr>
          <w:p w14:paraId="50AA5B43" w14:textId="398638A5" w:rsidR="001D0B3D" w:rsidRDefault="001D0B3D" w:rsidP="001D0B3D">
            <w:pPr>
              <w:jc w:val="right"/>
            </w:pPr>
            <w:r w:rsidRPr="001D0B3D">
              <w:t>−28.66 %</w:t>
            </w:r>
          </w:p>
        </w:tc>
      </w:tr>
      <w:tr w:rsidR="001D0B3D" w14:paraId="048ED250" w14:textId="327BF67A" w:rsidTr="001D0B3D">
        <w:tc>
          <w:tcPr>
            <w:tcW w:w="2284" w:type="dxa"/>
          </w:tcPr>
          <w:p w14:paraId="249F9342" w14:textId="77777777" w:rsidR="001D0B3D" w:rsidRDefault="001D0B3D" w:rsidP="001D0B3D">
            <w:pPr>
              <w:jc w:val="right"/>
            </w:pPr>
            <w:r>
              <w:t>0.60 %</w:t>
            </w:r>
          </w:p>
        </w:tc>
        <w:tc>
          <w:tcPr>
            <w:tcW w:w="2052" w:type="dxa"/>
          </w:tcPr>
          <w:p w14:paraId="18E116E2" w14:textId="77777777" w:rsidR="001D0B3D" w:rsidRDefault="001D0B3D" w:rsidP="001D0B3D">
            <w:pPr>
              <w:jc w:val="right"/>
            </w:pPr>
            <w:r>
              <w:t>10.00 %</w:t>
            </w:r>
          </w:p>
        </w:tc>
        <w:tc>
          <w:tcPr>
            <w:tcW w:w="2565" w:type="dxa"/>
          </w:tcPr>
          <w:p w14:paraId="0E378FA8" w14:textId="77777777" w:rsidR="001D0B3D" w:rsidRDefault="001D0B3D" w:rsidP="001D0B3D">
            <w:pPr>
              <w:jc w:val="right"/>
            </w:pPr>
            <w:r>
              <w:t>109.45 %</w:t>
            </w:r>
          </w:p>
        </w:tc>
        <w:tc>
          <w:tcPr>
            <w:tcW w:w="2303" w:type="dxa"/>
          </w:tcPr>
          <w:p w14:paraId="58AB77B1" w14:textId="7DB5919A" w:rsidR="001D0B3D" w:rsidRDefault="001D0B3D" w:rsidP="001D0B3D">
            <w:pPr>
              <w:jc w:val="right"/>
            </w:pPr>
            <w:r w:rsidRPr="001D0B3D">
              <w:t>−28.66 %</w:t>
            </w:r>
          </w:p>
        </w:tc>
      </w:tr>
      <w:tr w:rsidR="001D0B3D" w14:paraId="473DB3CC" w14:textId="451BA52E" w:rsidTr="001D0B3D">
        <w:tc>
          <w:tcPr>
            <w:tcW w:w="2284" w:type="dxa"/>
          </w:tcPr>
          <w:p w14:paraId="7626F5F7" w14:textId="77777777" w:rsidR="001D0B3D" w:rsidRDefault="001D0B3D" w:rsidP="001D0B3D">
            <w:pPr>
              <w:jc w:val="right"/>
            </w:pPr>
            <w:r>
              <w:t>0.60 %</w:t>
            </w:r>
          </w:p>
        </w:tc>
        <w:tc>
          <w:tcPr>
            <w:tcW w:w="2052" w:type="dxa"/>
          </w:tcPr>
          <w:p w14:paraId="4FB6F9B1" w14:textId="77777777" w:rsidR="001D0B3D" w:rsidRDefault="001D0B3D" w:rsidP="001D0B3D">
            <w:pPr>
              <w:jc w:val="right"/>
            </w:pPr>
            <w:r>
              <w:t>15.00 %</w:t>
            </w:r>
          </w:p>
        </w:tc>
        <w:tc>
          <w:tcPr>
            <w:tcW w:w="2565" w:type="dxa"/>
          </w:tcPr>
          <w:p w14:paraId="3995E9F8" w14:textId="77777777" w:rsidR="001D0B3D" w:rsidRDefault="001D0B3D" w:rsidP="001D0B3D">
            <w:pPr>
              <w:jc w:val="right"/>
            </w:pPr>
            <w:r>
              <w:t>4.69 %</w:t>
            </w:r>
          </w:p>
        </w:tc>
        <w:tc>
          <w:tcPr>
            <w:tcW w:w="2303" w:type="dxa"/>
          </w:tcPr>
          <w:p w14:paraId="509CB46B" w14:textId="1171172F" w:rsidR="001D0B3D" w:rsidRDefault="001D0B3D" w:rsidP="001D0B3D">
            <w:pPr>
              <w:jc w:val="right"/>
            </w:pPr>
            <w:r w:rsidRPr="001D0B3D">
              <w:t>−28.66 %</w:t>
            </w:r>
          </w:p>
        </w:tc>
      </w:tr>
    </w:tbl>
    <w:p w14:paraId="5F80A5A0" w14:textId="15CED79A" w:rsidR="000E24A6" w:rsidRDefault="00B92C53" w:rsidP="00B92C53">
      <w:pPr>
        <w:pStyle w:val="Caption"/>
      </w:pPr>
      <w:bookmarkStart w:id="116" w:name="_Toc229904555"/>
      <w:r>
        <w:t xml:space="preserve">Tabelle </w:t>
      </w:r>
      <w:r>
        <w:fldChar w:fldCharType="begin"/>
      </w:r>
      <w:r>
        <w:instrText xml:space="preserve"> SEQ Tabelle \* ARABIC </w:instrText>
      </w:r>
      <w:r>
        <w:fldChar w:fldCharType="separate"/>
      </w:r>
      <w:r>
        <w:rPr>
          <w:noProof/>
        </w:rPr>
        <w:t>5</w:t>
      </w:r>
      <w:r>
        <w:fldChar w:fldCharType="end"/>
      </w:r>
      <w:r>
        <w:t>: Total Return von Partners Group als Funktion von Basis-Transaktionskosten und Panik-Slippage (2D-Sensitivitätsanalyse)</w:t>
      </w:r>
      <w:bookmarkEnd w:id="116"/>
    </w:p>
    <w:p w14:paraId="44941609" w14:textId="38E0D0C0" w:rsidR="00A0447D" w:rsidRDefault="00A0447D" w:rsidP="00A0447D">
      <w:r>
        <w:br w:type="page"/>
      </w:r>
    </w:p>
    <w:p w14:paraId="0D9A4566" w14:textId="0D0E2653" w:rsidR="00C340CF" w:rsidRDefault="005A3C25" w:rsidP="00C340CF">
      <w:pPr>
        <w:pStyle w:val="Heading1"/>
      </w:pPr>
      <w:bookmarkStart w:id="117" w:name="_Toc229904530"/>
      <w:r>
        <w:lastRenderedPageBreak/>
        <w:t>Diskussion und Benchmarking</w:t>
      </w:r>
      <w:bookmarkEnd w:id="117"/>
    </w:p>
    <w:p w14:paraId="588D9BB1" w14:textId="1C371035" w:rsidR="005A3C25" w:rsidRDefault="008B0BB8" w:rsidP="005A3C25">
      <w:r>
        <w:t>Das primäre Erkenntnisinteresse dieser Arbeit lag in der Beantwortung der Frage, ob eine systematische «Riding Bubble»-Strategie im Schweizer Aktienmarkt (SMI/SLI) eine ökonomische Nützlichkeit («Financial Usefulness»)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18" w:name="_Toc229904531"/>
      <w:r>
        <w:t>Benchmarking: Aktives Markttiming vs. Passives Halten</w:t>
      </w:r>
      <w:bookmarkEnd w:id="118"/>
    </w:p>
    <w:p w14:paraId="531E8D42" w14:textId="5DBCB7DE" w:rsidR="002C0202" w:rsidRDefault="002C0202" w:rsidP="00EA5033">
      <w:r>
        <w:t xml:space="preserve">Der strategische Vorteil, der sich aus der Verbindung von Partizipation an einer Blase und einem antizipatorischen Ausstieg ergibt, liess sich am Beispiel der Partners Group deskriptiv beobachten. Durch den Einsatz des Wild-Bootstrap-Panik-Quantils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in Kombination mit dem Direktionalfilter wurde der Maximum Drawdown um 8.33 pp reduziert (von −69.44 % auf −61.11 %). Der Stationary-Bootstrap mit Strategie-Re-Simulation auf den V7-Schwellen weist diese Reduktion auf p = 0.040 als statistisch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Drawdown gegenüber Buy &amp; Hold; bei Richemont ist der Drawdown praktisch identisch (+0.39 pp). Bei Logitech (+3.27 pp) und Partners Group (+8.33 pp, p = 0.040 signifikant) verbessert V7 das Risikoprofil. Bei der Partners Group reduziert sich der Drawdown um 8.33 Prozentpunkte (V7 −61.11 % vs. B&amp;H −69.44 %); der Stationary-Bootstrap mit Strategie-Re-Simulation weist diese Reduktion auf p = 0.040 als statistisch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 xml:space="preserve">Verzögerter Wiedereinstieg (Whipsaw-Effekte): In hochvolatilen Bodenbildungsphasen kann die Kombination aus dem </w:t>
      </w:r>
      <w:r>
        <w:rPr>
          <w:rFonts w:ascii="Consolas" w:hAnsi="Consolas" w:cs="Consolas"/>
        </w:rPr>
        <w:t>SMA20</w:t>
      </w:r>
      <w:r>
        <w:t>-Filter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19" w:name="_Toc229904532"/>
      <w:r>
        <w:t>Der Einfluss von Marktfriktionen (Transaktionskosten)</w:t>
      </w:r>
      <w:bookmarkEnd w:id="119"/>
    </w:p>
    <w:p w14:paraId="0F507CAF" w14:textId="23ED35CC" w:rsidR="00C02A80" w:rsidRDefault="006F40F4" w:rsidP="00A76B3D">
      <w:r>
        <w:t xml:space="preserve">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2.5 %-Panik-Slippage reduziert sich die V7-Rendite bei der Partners Group um etwa 34 % (von 703.69 % auf 461.51 %). Sehr viel kritischer ist die Sensitivität gegenüber der Panik-Slippage: Bei einer fixen Annahme von 10 % Slippage am Panik-Quantil bricht die V7-Rendite (Basis 0.15 %) auf 199.78 % ein, bei 15 % auf 49.84 %; bei Kombination von 0.60 % Basis und 15 % Panik-Slippage verbleibt V7 mit nur noch 4.69 % nahezu vollständig erodiert. Im volatilitätsabhängigen Modell (Default, </w:t>
      </w:r>
      <m:oMath>
        <m:r>
          <w:rPr>
            <w:rFonts w:ascii="Cambria Math" w:hAnsi="Cambria Math"/>
          </w:rPr>
          <m:t>λ</m:t>
        </m:r>
      </m:oMath>
      <w:r>
        <w:t xml:space="preserve"> = 2) liegt die V7-Rendite bei Partners Group bei 598.66 %; eine ergänzende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Diese Sensitivität ist nicht eigentümlich, sondern strukturell bedingt. Sie folgt aus dem von Abreu und Brunnermeier (2003) beschriebenen Synchronisationsrisiko.</w:t>
      </w:r>
    </w:p>
    <w:p w14:paraId="01E25AB8" w14:textId="72BB9B76" w:rsidR="00C02A80" w:rsidRDefault="006F40F4" w:rsidP="00A76B3D">
      <w:r>
        <w:t>Dies wird besonders durch den in Kapitel 4.3.3 durchgeführten Stresstest verdeutlicht. Bei einer Erhöhung der Basis-Kosten auf 0.60 % pro Transaktion fällt die Momentum-Strategie (</w:t>
      </w:r>
      <w:r>
        <w:rPr>
          <w:rFonts w:ascii="Consolas" w:hAnsi="Consolas" w:cs="Consolas"/>
        </w:rPr>
        <w:t>SMA20</w:t>
      </w:r>
      <w:r>
        <w:t xml:space="preserve">) auf eine kumulierte Rendite von −28.66 % über zwanzig Jahre zurück, während die V7-Strategie bei der Partners Group unter gleichen Bedingungen (fixer 2.5 %-Panik-Slippage) 461.51 % erzielt. Auf Basis-Kosten-Variationen reagiert V7 also deutlich robuster als ein einfaches </w:t>
      </w:r>
      <w:r>
        <w:rPr>
          <w:rFonts w:ascii="Consolas" w:hAnsi="Consolas" w:cs="Consolas"/>
        </w:rPr>
        <w:t>SMA20</w:t>
      </w:r>
      <w:r>
        <w:t>-Trendfolgemodell, büsst gegenüber der 0.15 %-Konstellation jedoch rund 34 % der kumulierten Rendite ein.</w:t>
      </w:r>
    </w:p>
    <w:p w14:paraId="7FE64CEA" w14:textId="09A9792B" w:rsidR="00FF50B9" w:rsidRDefault="006F40F4" w:rsidP="00A76B3D">
      <w:r>
        <w:t xml:space="preserve">Dieses Resultat belegt zwei Dinge. Der </w:t>
      </w:r>
      <m:oMath>
        <m:r>
          <m:rPr>
            <m:sty m:val="p"/>
          </m:rPr>
          <w:rPr>
            <w:rFonts w:ascii="Cambria Math" w:hAnsi="Cambria Math"/>
          </w:rPr>
          <m:t>BSADF</m:t>
        </m:r>
      </m:oMath>
      <w:r>
        <w:t xml:space="preserve">-Filter unterscheidet effektiv zwischen profitablem Trendreiten und ruinösem Rauschen, was die V7-Strategie gegenüber simplen </w:t>
      </w:r>
      <w:r>
        <w:rPr>
          <w:rFonts w:ascii="Consolas" w:hAnsi="Consolas" w:cs="Consolas"/>
        </w:rPr>
        <w:t>SMA20</w:t>
      </w:r>
      <w:r>
        <w:t xml:space="preserve">-Trendfolgemodellen kosteneffizient macht. Zugleich hängt der gesamte Mehrwert der Strategie kritisch von der Slippage-Realisation am Panik-Trigger ab. Eine konservative Implementierung in der Praxis muss daher zwingend dynamische, volatilitätsabhängige Slippage-Modelle </w:t>
      </w:r>
      <w:r>
        <w:lastRenderedPageBreak/>
        <w:t>(Almgren und Chriss (2000) berücksichtigen, ehe ein Live-Einsatz in Erwägung gezogen werden kann.</w:t>
      </w:r>
    </w:p>
    <w:p w14:paraId="01F24CEA" w14:textId="3D6C2696" w:rsidR="009253C4" w:rsidRDefault="009253C4" w:rsidP="009253C4">
      <w:pPr>
        <w:pStyle w:val="Heading2"/>
      </w:pPr>
      <w:bookmarkStart w:id="120" w:name="_Toc229904533"/>
      <w:r>
        <w:t>Kritische Würdigung und Limitationen der Untersuchung</w:t>
      </w:r>
      <w:bookmarkEnd w:id="120"/>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Look-Ahead Bias und Overfitting ausgerichtet wurde, unterliegt die Arbeit gewissen Limitationen:</w:t>
      </w:r>
    </w:p>
    <w:p w14:paraId="4C9393E8" w14:textId="3ADB85D1" w:rsidR="00626C61" w:rsidRDefault="00626C61" w:rsidP="00626C61">
      <w:pPr>
        <w:pStyle w:val="ListParagraph"/>
        <w:numPr>
          <w:ilvl w:val="0"/>
          <w:numId w:val="45"/>
        </w:numPr>
      </w:pPr>
      <w:r>
        <w:t>Parametersensitivität und Quantilswahl: Die Parameter für den Teilverkauf (94-%-Quantil) und den Panik-Exit (99-%-Quantil) wurden vorab fixiert. Dass die V7-Strategie bei Titeln wie Lonza den maximalen Drawdown nicht verbessern konnte, deutet darauf hin, dass starre Quantilsgrenzen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Log-Periodic Power Law (LPPL) verzichtet, da diese trotz ihrer Flexibilität im Echtzeit-Einsatz stark zum Overfitting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 xml:space="preserve">Verzerrungen durch das Anlageuniversum (Selection Bias): Die fünf untersuchten Titel (Logitech, Richemont, Lonza, Sika, Partners Group) wurden ex post nach historischer Volatilität und Wachstumsdynamik selektiert. Diese Auswahl konstituiert einen Selection Bias im Sinne der Data-Snooping-Literatur (Lo &amp; MacKinlay, 1990; Harvey, Liu &amp; Zhu, 2016), da die untersuchten Titel mit überproportionaler Wahrscheinlichkeit positiv-trendige Episoden enthalten und die ex-post-Auswahl ausserdem eine ungerechnete Multiple-Testing-Last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Underperformance generieren würde, da der </w:t>
      </w:r>
      <m:oMath>
        <m:r>
          <m:rPr>
            <m:sty m:val="p"/>
          </m:rPr>
          <w:rPr>
            <w:rFonts w:ascii="Cambria Math" w:hAnsi="Cambria Math"/>
          </w:rPr>
          <m:t>BSADF</m:t>
        </m:r>
      </m:oMath>
      <w:r>
        <w:t>-Detector dort vermehrt Fehlsignale (False Positives) produzieren dürfte.</w:t>
      </w:r>
    </w:p>
    <w:p w14:paraId="09F5E1ED" w14:textId="24ADEAA5" w:rsidR="00BA35E5" w:rsidRDefault="00220799" w:rsidP="00BA35E5">
      <w:pPr>
        <w:pStyle w:val="ListParagraph"/>
        <w:numPr>
          <w:ilvl w:val="0"/>
          <w:numId w:val="45"/>
        </w:numPr>
      </w:pPr>
      <w:r>
        <w:t xml:space="preserve">Limitationen der Ausführungsqualität (Slippage): Die unterstellten Basis-Transaktionskosten von 0.15 % entsprechen regulären Marktbedingungen. Die Panik-Slippage von 2.5 % ist hingegen heuristisch und liegt unterhalb der empirisch dokumentierten Stress-Spreads (Amihud, 2002; Bouchaud et al., 2004); sie ist </w:t>
      </w:r>
      <w:r>
        <w:lastRenderedPageBreak/>
        <w:t>deshalb in Tabelle 3 explizit als untere Schranke ausgewiesen; die 2D-Sensitivitätsanalyse in Tabelle 5 dokumentiert das Performance-Bild bei Panik-Slippages bis 15 %. Die 2D-Sensitivitätsanalyse in Tabelle 5 zeigt, dass die V7-Strategie bei realistischeren Panik-Slippages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Slippage-Annahmen erfordern.</w:t>
      </w:r>
    </w:p>
    <w:p w14:paraId="7DA831A3" w14:textId="6356A313" w:rsidR="00254415" w:rsidRDefault="002D4D9A" w:rsidP="00D760D1">
      <w:r>
        <w:t>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Buy &amp; Hold konnte in der vorliegenden Stichprobe jedoch nicht belegt werden.</w:t>
      </w:r>
      <w:r>
        <w:br w:type="page"/>
      </w:r>
    </w:p>
    <w:p w14:paraId="6491C466" w14:textId="77777777" w:rsidR="00254415" w:rsidRDefault="00254415" w:rsidP="001C2DCE">
      <w:pPr>
        <w:pStyle w:val="Heading1"/>
      </w:pPr>
      <w:bookmarkStart w:id="121" w:name="_Toc229904534"/>
      <w:r>
        <w:lastRenderedPageBreak/>
        <w:t>Ausblick und Fazit</w:t>
      </w:r>
      <w:bookmarkEnd w:id="121"/>
    </w:p>
    <w:p w14:paraId="7BC2423F" w14:textId="459F5E69" w:rsidR="00254415" w:rsidRDefault="000D5954" w:rsidP="000D5954">
      <w:pPr>
        <w:pStyle w:val="Heading2"/>
      </w:pPr>
      <w:bookmarkStart w:id="122" w:name="_Toc229904535"/>
      <w:r>
        <w:t>Fazit</w:t>
      </w:r>
      <w:bookmarkEnd w:id="122"/>
    </w:p>
    <w:p w14:paraId="4D36AD92" w14:textId="0F10E961" w:rsidR="00706C00" w:rsidRDefault="00706C00" w:rsidP="00706C00">
      <w:r>
        <w:t>Die vorliegende Bachelorarbeit untersuchte die ökonomische Nützlichkeit («Financial Usefulness») algorithmischer Blasenerkennungsmodelle im Schweizer Aktienmarkt. Ausgangspunkt war das in der finanzwissenschaftlichen Literatur dokumentierte Dilemma rationaler Investor:innen, welche bei spekulativen Übertreibungen zwischen einem verfrühten Leerverkauf und dem Risiko eines totalen Crashs abwägen müssen. Ziel war es, eine systematische «Riding the Bubble»-Strategie zu entwickeln, welche den theoretischen Ansatz von Abreu und Brunnermeier (2003) operativ umsetzt und unter realen Marktbedingungen (Net-of-Fees) einem Backtesting unterzieht.</w:t>
      </w:r>
    </w:p>
    <w:p w14:paraId="45ADAAF5" w14:textId="77777777" w:rsidR="00706C00" w:rsidRDefault="00706C00" w:rsidP="00706C00">
      <w:r>
        <w:t xml:space="preserve">Die empirischen Resultate der V7-Strategie zeigen, dass spekulative Phasen im Schweizer Leitindex mit der vorgeschlagenen Methodik deskriptiv identifizierbar sind. Durch die Kombination des Phillips-Shi-Yu (PSY) Tests in seiner </w:t>
      </w:r>
      <m:oMath>
        <m:r>
          <m:rPr>
            <m:sty m:val="p"/>
          </m:rPr>
          <w:rPr>
            <w:rFonts w:ascii="Cambria Math" w:hAnsi="Cambria Math"/>
          </w:rPr>
          <m:t>BSADF</m:t>
        </m:r>
      </m:oMath>
      <w:r>
        <w:t xml:space="preserve">-Spezifikation mit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statistisch signifikante Maximum-Drawdown-Reduktion (p = 0.040) liegt bei der Partners Group vor.</w:t>
      </w:r>
    </w:p>
    <w:p w14:paraId="32844894" w14:textId="77777777" w:rsidR="00706C00" w:rsidRDefault="00706C00" w:rsidP="00706C00">
      <w:r>
        <w:t>Es zeigte sich, dass die Strategie bei Titeln mit ausgeprägten Volatilitätszyklen (insbesondere Partners Group) deskriptive Reduktionen des Maximum Drawdowns erzielt. Der «Smart Re-Entry» über die 20-Tage-Linie (</w:t>
      </w:r>
      <w:r>
        <w:rPr>
          <w:rFonts w:ascii="Consolas" w:hAnsi="Consolas" w:cs="Consolas"/>
        </w:rPr>
        <w:t>SMA20</w:t>
      </w:r>
      <w:r>
        <w:t>) ermöglichte in diesen Episoden eine zeitnahe Re-Partizipation nach dem Panik-Exit. Im Querschnitt resultierte die Strategie in einer höheren Calmar Ratio gegenüber der klassischen Momentum-Strategie, blieb jedoch unter der Calmar Ratio von Buy &amp; Hold.</w:t>
      </w:r>
    </w:p>
    <w:p w14:paraId="17E12BDC" w14:textId="5954FE6C" w:rsidR="00706C00" w:rsidRDefault="00706C00" w:rsidP="00706C00">
      <w:r>
        <w:t xml:space="preserve">Die Analyse offenbarte methodische Opportunitätskosten in langanhaltenden Hausse-Phasen ohne ausgeprägte Strukturbrüche (insbesondere Sika und Lonza), in denen der </w:t>
      </w:r>
      <m:oMath>
        <m:r>
          <m:rPr>
            <m:sty m:val="p"/>
          </m:rPr>
          <w:rPr>
            <w:rFonts w:ascii="Cambria Math" w:hAnsi="Cambria Math"/>
          </w:rPr>
          <m:t>BSADF</m:t>
        </m:r>
      </m:oMath>
      <w:r>
        <w:t>-Detector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w:t>
      </w:r>
      <m:oMath>
        <m:r>
          <w:rPr>
            <w:rFonts w:ascii="Cambria Math" w:hAnsi="Cambria Math"/>
          </w:rPr>
          <m:t>Δ</m:t>
        </m:r>
      </m:oMath>
      <w:r>
        <w:t xml:space="preserve"> = +8.33 pp, p = 0.040) und deskriptiv bei Logitech (+3.27 pp, p = 0.19 n.s.); bei Richemont praktisch indifferent (+0.39 pp), bei Sika (−1.87 pp) und Lonza (−4.29 pp) marginal schlechter. Die Calmar-Ratio liegt bei vier von fünf Titeln unter dem Buy &amp; Hold-Niveau. Eine empirische Tail-Risk-Versicherung im </w:t>
      </w:r>
      <w:r>
        <w:lastRenderedPageBreak/>
        <w:t>Sinne einer systematischen Drawdown-Reduktion lässt sich aus der vorliegenden Stichprobe somit nicht ableiten.</w:t>
      </w:r>
    </w:p>
    <w:p w14:paraId="26F76009" w14:textId="2B5864E0" w:rsidR="000D5954" w:rsidRDefault="00706C00" w:rsidP="00706C00">
      <w:r>
        <w:t>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Buy &amp; Hold-Strategie. Der konzeptionelle Beitrag der Arbeit liegt vielmehr in der Operationalisierung der akademischen Theorie der Blasendetektion zu einem regelbasierten Handelssystem mit transparenten Ein- und Ausstiegskriterien, asymmetrischer Slippage-Modellierung und expliziter Block-Bootstrap-Inferenz. Eine konfirmatorische Validierung des Mehrwerts erfordert (i) ein breiteres Anlageuniversum ohne ex-post-Selektion, (ii) eine konservativere Modellierung der Panik-Slippage und (iii) eine zeitliche Out-of-Sample-Trennung zwischen Kalibrierungs- und Validierungsphase.</w:t>
      </w:r>
    </w:p>
    <w:p w14:paraId="1F59685F" w14:textId="142C8B81" w:rsidR="00706C00" w:rsidRDefault="00706C00" w:rsidP="00706C00">
      <w:pPr>
        <w:pStyle w:val="Heading2"/>
      </w:pPr>
      <w:bookmarkStart w:id="123" w:name="_Toc229904536"/>
      <w:r>
        <w:t>Ausblick</w:t>
      </w:r>
      <w:bookmarkEnd w:id="123"/>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(Machine Learning): Um einen Overfitting-Bias zu verhindern, wurden die Schwellenwerte für den Teilverkauf und den Panik-Exit in dieser Untersuchung vorab fixiert. Zukünftige Forschungen könnten den Einsatz von Machine-Learning-Algorithmen (z. B. Walk-Forward-Optimization)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Erweiterung der Filterkriterien (Volumen und Sentiment): Die V7-Strategie nutzt Preisdaten als primäre Signalquelle. Wie Brooks und Katsaris (2005) aufzeigen, kann abnormales Handelsvolumen ein entscheidender Indikator für den Übergang von einer expansiven in eine kollabierende Blasenphase sein. Eine multikriterielle Erweiterung des Detektors um Volumendaten, implizite Volatilitäten (Optionsmärkte) oder textbasierte Sentiment-Analysen (Media-Scraping)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(Multikriterielle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Slippage in Stressphasen noch realistischer abzubilden.</w:t>
      </w:r>
      <w:r>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4" w:name="_Toc536358052"/>
      <w:bookmarkStart w:id="125" w:name="_Toc229904537"/>
      <w:r>
        <w:lastRenderedPageBreak/>
        <w:t>Quellenverzeichnis</w:t>
      </w:r>
      <w:bookmarkEnd w:id="125"/>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Brunnermeier, M. K. (2003). Bubbles and crashes. </w:t>
      </w:r>
      <w:r>
        <w:rPr>
          <w:rFonts w:cs="Arial"/>
          <w:i/>
          <w:iCs/>
          <w:szCs w:val="22"/>
          <w:lang w:val="en-US" w:eastAsia="en-US"/>
        </w:rPr>
        <w:t>Econometrica</w:t>
      </w:r>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Aliber,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r>
        <w:t>Almgren, R., &amp; Chriss, N. (2000). Optimal execution of portfolio transactions. Journal of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r>
        <w:t>Amihud, Y. (2002). Illiquidity and stock returns: cross-section and time-series effects. Journal of Financial Markets, 5(1), 31–56. https://doi.org/10.1016/S1386-4181(01)00024-6</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Institut for Økonomi, Aarhus Universitet. Retrieved April 20, 2026, from https://pure.au.dk/portal/files/168423284/rp19_16.pdf</w:t>
      </w:r>
    </w:p>
    <w:p w14:paraId="3A4D0001" w14:textId="77777777" w:rsidR="0039616A" w:rsidRDefault="0039616A" w:rsidP="0039616A">
      <w:pPr>
        <w:spacing w:before="0" w:after="0" w:line="480" w:lineRule="auto"/>
        <w:ind w:left="720" w:hanging="720"/>
        <w:jc w:val="left"/>
      </w:pPr>
      <w:r>
        <w:t>Blanchard, O. J., &amp; Watson, M. W. (1982). Bubbles, rational expectations and financial markets. NBER Working Paper Series, No. 945. https://doi.org/10.3386/w0945</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r>
        <w:t>Bouchaud, J.-P., Gefen, Y., Potters, M., &amp; Wyart, M. (2004). Fluctuations and response in financial markets: the subtle nature of 'random' price changes.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Katsaris, A. (2005). A Three-Regime Model of Speculative behaviour: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Evans, G. W. (1991). Pitfalls in testing for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3A4D0002" w14:textId="77777777" w:rsidR="0039616A" w:rsidRDefault="0039616A" w:rsidP="0039616A">
      <w:pPr>
        <w:spacing w:before="0" w:after="0" w:line="480" w:lineRule="auto"/>
        <w:ind w:left="720" w:hanging="720"/>
        <w:jc w:val="left"/>
      </w:pPr>
      <w:r>
        <w:t>Feigenbaum, J. A. (2001). A statistical analysis of log-periodic precursors to financial crashes.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r>
        <w:t>Gürkaynak, R. S. (2008). Econometric tests of asset price bubbles: taking stock. Journal of Economic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Guenster, N., Kole, E., &amp; Jacobsen, B. (2009, December 10). Riding bubbles. http://hdl.handle.net/1765/17525</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Harvey, C. R., Liu, Y., &amp; Zhu, H. (2016). … and the Cross-Section of Expected Returns. The Review of Financial Studies, 29(1), 5–68. https://doi.org/10.1093/rfs/hhv059</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Johansen, A., Ledoit, O., &amp; Sornette, D. (2000). Crashes as critical points. International Journal of Theoretical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MacKinlay,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Milunovich,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r>
        <w:rPr>
          <w:rFonts w:cs="Arial"/>
          <w:i/>
          <w:iCs/>
          <w:szCs w:val="22"/>
          <w:lang w:val="en-US" w:eastAsia="en-US"/>
        </w:rPr>
        <w:t>Econometrica</w:t>
      </w:r>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Phillips, P. C. B., Wu, Y., &amp; Yu, J. (2011). Explosive behavior in the 1990s NASDAQ: When did exuberance escalate asset values? International Economic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Phillips, P. C. B., Shi, S., &amp; Yu, J. (2015). Testing for multiple bubbles: Historical episodes of exuberance and collapse in the S&amp;P 500. International Economic Review, 56(4), 1043–1078. https://doi.org/10.1111/iere.12132</w:t>
      </w:r>
    </w:p>
    <w:p w14:paraId="6CA1E248" w14:textId="77777777" w:rsidR="0039616A" w:rsidRPr="0039616A" w:rsidRDefault="0039616A" w:rsidP="0039616A">
      <w:pPr>
        <w:spacing w:before="0" w:after="0" w:line="480" w:lineRule="auto"/>
        <w:ind w:left="720" w:hanging="720"/>
        <w:jc w:val="left"/>
        <w:rPr>
          <w:rFonts w:cs="Arial"/>
          <w:szCs w:val="22"/>
          <w:lang w:val="en-US" w:eastAsia="en-US"/>
        </w:rPr>
      </w:pPr>
      <w:r>
        <w:t>Politis, D. N., &amp; Romano, J. P. (1994). The stationary bootstrap. Journal of the American Statistical Association, 89(428), 1303–1313. https://doi.org/10.1080/01621459.1994.10476870</w:t>
      </w:r>
    </w:p>
    <w:p w14:paraId="728F7069" w14:textId="4B50344A"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xml:space="preserve">. </w:t>
      </w:r>
      <w:r>
        <w:rPr>
          <w:rFonts w:cs="Arial"/>
          <w:szCs w:val="22"/>
          <w:lang w:eastAsia="en-US"/>
        </w:rPr>
        <w:t>Princeton University Press</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Vishny,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4"/>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3"/>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6" w:name="_Toc536358053"/>
      <w:bookmarkStart w:id="127" w:name="_Toc229904538"/>
      <w:commentRangeStart w:id="128"/>
      <w:r>
        <w:lastRenderedPageBreak/>
        <w:t>Anhänge</w:t>
      </w:r>
      <w:bookmarkEnd w:id="126"/>
      <w:commentRangeEnd w:id="128"/>
      <w:r>
        <w:rPr>
          <w:rStyle w:val="CommentReference"/>
          <w:sz w:val="28"/>
          <w:szCs w:val="20"/>
        </w:rPr>
        <w:commentReference w:id="128"/>
      </w:r>
      <w:bookmarkEnd w:id="127"/>
    </w:p>
    <w:p w14:paraId="42634DE6" w14:textId="77777777" w:rsidR="005B48D7" w:rsidRDefault="005B48D7" w:rsidP="00EE43F8">
      <w:pPr>
        <w:pStyle w:val="Ueberschrift2ohneNummer"/>
      </w:pPr>
      <w:bookmarkStart w:id="129" w:name="_Toc229904539"/>
      <w:r>
        <w:t>Hilfsmittelverzeichnis</w:t>
      </w:r>
      <w:bookmarkEnd w:id="129"/>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Pr>
                <w:b/>
                <w:bCs/>
              </w:rPr>
              <w:t>Hilfsmittel</w:t>
            </w:r>
          </w:p>
        </w:tc>
        <w:tc>
          <w:tcPr>
            <w:tcW w:w="3490" w:type="dxa"/>
          </w:tcPr>
          <w:p w14:paraId="651CEB1C" w14:textId="77777777" w:rsidR="00FD6336" w:rsidRPr="00F316EE" w:rsidRDefault="00FD6336" w:rsidP="00744EBC">
            <w:pPr>
              <w:rPr>
                <w:b/>
                <w:bCs/>
              </w:rPr>
            </w:pPr>
            <w:r>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D76DF">
            <w:pPr>
              <w:jc w:val="left"/>
            </w:pPr>
            <w:r>
              <w:t>Gemini Nano Banana 2</w:t>
            </w:r>
          </w:p>
        </w:tc>
        <w:tc>
          <w:tcPr>
            <w:tcW w:w="3490" w:type="dxa"/>
          </w:tcPr>
          <w:p w14:paraId="1A3F4927" w14:textId="77777777" w:rsidR="00FD6336" w:rsidRDefault="00FD6336" w:rsidP="007D76DF">
            <w:pPr>
              <w:jc w:val="left"/>
            </w:pPr>
            <w:r>
              <w:t>Titelbild generieren, siehe Prompt</w:t>
            </w:r>
          </w:p>
        </w:tc>
        <w:tc>
          <w:tcPr>
            <w:tcW w:w="2617" w:type="dxa"/>
          </w:tcPr>
          <w:p w14:paraId="58674566" w14:textId="72101CCD" w:rsidR="00FD6336" w:rsidRDefault="00FD6336" w:rsidP="007D76DF">
            <w:pPr>
              <w:jc w:val="left"/>
            </w:pPr>
            <w:r>
              <w:t>Titelseite</w:t>
            </w:r>
          </w:p>
        </w:tc>
      </w:tr>
      <w:tr w:rsidR="00FD6336" w14:paraId="3A983B47" w14:textId="77777777" w:rsidTr="00FD6336">
        <w:tc>
          <w:tcPr>
            <w:tcW w:w="3097" w:type="dxa"/>
          </w:tcPr>
          <w:p w14:paraId="3E7EFBD3" w14:textId="32F51CC4" w:rsidR="00FD6336" w:rsidRDefault="00FD6336" w:rsidP="007D76DF">
            <w:pPr>
              <w:jc w:val="left"/>
            </w:pPr>
            <w:r>
              <w:t>Privates Lektorat</w:t>
            </w:r>
          </w:p>
        </w:tc>
        <w:tc>
          <w:tcPr>
            <w:tcW w:w="3490" w:type="dxa"/>
          </w:tcPr>
          <w:p w14:paraId="288F913D" w14:textId="07A7EED6" w:rsidR="00FD6336" w:rsidRDefault="007D76DF" w:rsidP="007D76DF">
            <w:pPr>
              <w:jc w:val="left"/>
            </w:pPr>
            <w:r>
              <w:t>Korrekturlesung Rechtschreibung, Grammatik und Lesefluss</w:t>
            </w:r>
          </w:p>
        </w:tc>
        <w:tc>
          <w:tcPr>
            <w:tcW w:w="2617" w:type="dxa"/>
          </w:tcPr>
          <w:p w14:paraId="26C3A4DB" w14:textId="7AD46BB1" w:rsidR="00FD6336" w:rsidRDefault="00FD6336" w:rsidP="007D76DF">
            <w:pPr>
              <w:jc w:val="left"/>
            </w:pPr>
            <w:r>
              <w:t>Ganze Arbeit</w:t>
            </w:r>
          </w:p>
        </w:tc>
      </w:tr>
      <w:tr w:rsidR="00FD6336" w14:paraId="51F9ADC0" w14:textId="29A8948C" w:rsidTr="00FD6336">
        <w:tc>
          <w:tcPr>
            <w:tcW w:w="3097" w:type="dxa"/>
          </w:tcPr>
          <w:p w14:paraId="4DEFC418" w14:textId="77777777" w:rsidR="00FD6336" w:rsidRDefault="00FD6336" w:rsidP="007D76DF">
            <w:pPr>
              <w:jc w:val="left"/>
            </w:pPr>
            <w:r>
              <w:t>Scribbr</w:t>
            </w:r>
          </w:p>
        </w:tc>
        <w:tc>
          <w:tcPr>
            <w:tcW w:w="3490" w:type="dxa"/>
          </w:tcPr>
          <w:p w14:paraId="0242A67D" w14:textId="6AFEF6A4" w:rsidR="00FD6336" w:rsidRDefault="007D76DF" w:rsidP="007D76DF">
            <w:pPr>
              <w:jc w:val="left"/>
            </w:pPr>
            <w:r>
              <w:t>Formatierung des Quellenverzeichnisses und Inline-Zitationen gemäss APA-7-Stil</w:t>
            </w:r>
          </w:p>
        </w:tc>
        <w:tc>
          <w:tcPr>
            <w:tcW w:w="2617" w:type="dxa"/>
          </w:tcPr>
          <w:p w14:paraId="43579879" w14:textId="1AD1146A" w:rsidR="00FD6336" w:rsidRDefault="00FD6336" w:rsidP="007D76DF">
            <w:pPr>
              <w:jc w:val="left"/>
            </w:pPr>
            <w:r>
              <w:t>Quellenverzeichnis</w:t>
            </w:r>
          </w:p>
        </w:tc>
      </w:tr>
      <w:tr w:rsidR="00FD6336" w14:paraId="47F37386" w14:textId="12813D17" w:rsidTr="00FD6336">
        <w:tc>
          <w:tcPr>
            <w:tcW w:w="3097" w:type="dxa"/>
          </w:tcPr>
          <w:p w14:paraId="728B7C43" w14:textId="7EF2539F" w:rsidR="00FD6336" w:rsidRDefault="007D76DF" w:rsidP="007D76DF">
            <w:pPr>
              <w:jc w:val="left"/>
            </w:pPr>
            <w:r>
              <w:t>Claude Pro (Anthropic)</w:t>
            </w:r>
          </w:p>
        </w:tc>
        <w:tc>
          <w:tcPr>
            <w:tcW w:w="3490" w:type="dxa"/>
          </w:tcPr>
          <w:p w14:paraId="6C2AFB31" w14:textId="6E484901" w:rsidR="00FD6336" w:rsidRDefault="0008436C" w:rsidP="007D76DF">
            <w:pPr>
              <w:jc w:val="left"/>
            </w:pPr>
            <w:r>
              <w:t>Bereinigung der unakademischen Sprache</w:t>
            </w:r>
          </w:p>
        </w:tc>
        <w:tc>
          <w:tcPr>
            <w:tcW w:w="2617" w:type="dxa"/>
          </w:tcPr>
          <w:p w14:paraId="03115AC0" w14:textId="5087BF11" w:rsidR="00FD6336" w:rsidRPr="005B48D7" w:rsidRDefault="0008436C" w:rsidP="007D76DF">
            <w:pPr>
              <w:jc w:val="left"/>
            </w:pPr>
            <w:r>
              <w:t>Ganze Arbeit</w:t>
            </w:r>
          </w:p>
        </w:tc>
      </w:tr>
      <w:tr w:rsidR="007D76DF" w14:paraId="3C4C20E0" w14:textId="77777777" w:rsidTr="00FD6336">
        <w:tc>
          <w:tcPr>
            <w:tcW w:w="3097" w:type="dxa"/>
          </w:tcPr>
          <w:p w14:paraId="73167B9B" w14:textId="4B9765AC" w:rsidR="007D76DF" w:rsidRPr="007D76DF" w:rsidRDefault="007D76DF" w:rsidP="007D76DF">
            <w:pPr>
              <w:jc w:val="left"/>
            </w:pPr>
            <w:r>
              <w:t>Claude Pro (Anthropic)</w:t>
            </w:r>
          </w:p>
        </w:tc>
        <w:tc>
          <w:tcPr>
            <w:tcW w:w="3490" w:type="dxa"/>
          </w:tcPr>
          <w:p w14:paraId="4090DDAC" w14:textId="01991220" w:rsidR="007D76DF" w:rsidRDefault="007D76DF" w:rsidP="007D76DF">
            <w:pPr>
              <w:jc w:val="left"/>
            </w:pPr>
            <w:r>
              <w:t>Methodische Diskussionen: PSY-(2015) -Konformität der min_window-Wahl, Wild-Bootstrap-Quantile vs. rollierende Empirie, p-Wert-Konstruktion, Direktionalfilter-Begründung</w:t>
            </w:r>
          </w:p>
        </w:tc>
        <w:tc>
          <w:tcPr>
            <w:tcW w:w="2617" w:type="dxa"/>
          </w:tcPr>
          <w:p w14:paraId="1094ECC6" w14:textId="1E76D2FE" w:rsidR="007D76DF" w:rsidRDefault="007D76DF" w:rsidP="007D76DF">
            <w:pPr>
              <w:jc w:val="left"/>
            </w:pPr>
            <w:r>
              <w:t>Kap. 3.3, 3.4, Anhang B, C, F</w:t>
            </w:r>
          </w:p>
        </w:tc>
      </w:tr>
      <w:tr w:rsidR="007D76DF" w14:paraId="729C44B9" w14:textId="77777777" w:rsidTr="00FD6336">
        <w:tc>
          <w:tcPr>
            <w:tcW w:w="3097" w:type="dxa"/>
          </w:tcPr>
          <w:p w14:paraId="3DF4758A" w14:textId="1443C0C7" w:rsidR="007D76DF" w:rsidRPr="007D76DF" w:rsidRDefault="007D76DF" w:rsidP="007D76DF">
            <w:pPr>
              <w:jc w:val="left"/>
            </w:pPr>
            <w:r>
              <w:t>Claude Pro (Anthropic)</w:t>
            </w:r>
          </w:p>
        </w:tc>
        <w:tc>
          <w:tcPr>
            <w:tcW w:w="3490" w:type="dxa"/>
          </w:tcPr>
          <w:p w14:paraId="664DF21E" w14:textId="799F6719" w:rsidR="007D76DF" w:rsidRDefault="007D76DF" w:rsidP="007D76DF">
            <w:pPr>
              <w:jc w:val="left"/>
            </w:pPr>
            <w:r>
              <w:t>Konsistenz-Verifikation Text ↔ Tabellen ↔ CSV/JSON-Output; Diskrepanz-Identifikation zwischen publizierten Zahlen und Backtest-Output; Find/Replace-Verifikation der Versionskonsistenz (V3 → V7)</w:t>
            </w:r>
          </w:p>
        </w:tc>
        <w:tc>
          <w:tcPr>
            <w:tcW w:w="2617" w:type="dxa"/>
          </w:tcPr>
          <w:p w14:paraId="574E5192" w14:textId="39A589AE" w:rsidR="007D76DF" w:rsidRPr="007D76DF" w:rsidRDefault="007D76DF" w:rsidP="007D76DF">
            <w:pPr>
              <w:jc w:val="left"/>
            </w:pPr>
            <w:r>
              <w:t>Tabellen 3-5, Anhänge B, D, E, G</w:t>
            </w:r>
          </w:p>
        </w:tc>
      </w:tr>
      <w:tr w:rsidR="007D76DF" w14:paraId="2D821150" w14:textId="77777777" w:rsidTr="00FD6336">
        <w:tc>
          <w:tcPr>
            <w:tcW w:w="3097" w:type="dxa"/>
          </w:tcPr>
          <w:p w14:paraId="7B7D8BE6" w14:textId="3CE3F891" w:rsidR="007D76DF" w:rsidRPr="007D76DF" w:rsidRDefault="007D76DF" w:rsidP="007D76DF">
            <w:pPr>
              <w:jc w:val="left"/>
            </w:pPr>
            <w:r>
              <w:t>Claude Code</w:t>
            </w:r>
          </w:p>
        </w:tc>
        <w:tc>
          <w:tcPr>
            <w:tcW w:w="3490" w:type="dxa"/>
          </w:tcPr>
          <w:p w14:paraId="1A6CEE5E" w14:textId="42A864E7" w:rsidR="007D76DF" w:rsidRPr="007D76DF" w:rsidRDefault="007D76DF" w:rsidP="007D76DF">
            <w:pPr>
              <w:jc w:val="left"/>
            </w:pPr>
            <w:r>
              <w:t>Hilfestellung beim Matplotlib-Skript für Generierung der erzeugten Abbildungen.</w:t>
            </w:r>
          </w:p>
        </w:tc>
        <w:tc>
          <w:tcPr>
            <w:tcW w:w="2617" w:type="dxa"/>
          </w:tcPr>
          <w:p w14:paraId="600150B5" w14:textId="4A5FA925" w:rsidR="007D76DF" w:rsidRPr="007D76DF" w:rsidRDefault="007D76DF" w:rsidP="007D76DF">
            <w:pPr>
              <w:jc w:val="left"/>
            </w:pPr>
            <w:r>
              <w:t>Abb. 1-7, Anhang A</w:t>
            </w:r>
          </w:p>
        </w:tc>
      </w:tr>
      <w:tr w:rsidR="007D76DF" w14:paraId="2A98FD34" w14:textId="77777777" w:rsidTr="00FD6336">
        <w:tc>
          <w:tcPr>
            <w:tcW w:w="3097" w:type="dxa"/>
          </w:tcPr>
          <w:p w14:paraId="74655B62" w14:textId="0D7FD01C" w:rsidR="007D76DF" w:rsidRDefault="007D76DF" w:rsidP="007D76DF">
            <w:pPr>
              <w:jc w:val="left"/>
            </w:pPr>
            <w:r>
              <w:lastRenderedPageBreak/>
              <w:t>Claude Code</w:t>
            </w:r>
          </w:p>
        </w:tc>
        <w:tc>
          <w:tcPr>
            <w:tcW w:w="3490" w:type="dxa"/>
          </w:tcPr>
          <w:p w14:paraId="6F6FB37D" w14:textId="31A3F189" w:rsidR="007D76DF" w:rsidRDefault="007D76DF" w:rsidP="007D76DF">
            <w:pPr>
              <w:jc w:val="left"/>
            </w:pPr>
            <w:r>
              <w:t>Code-Review der BSADF-Implementierung gegen unabhängige statsmodels-Referenz; Numba-Performance-Tuning (Windows-Threading-Fix); Beratung zur Bootstrap-Implementierung (Politis/Romano 1994). Algorithmus-Logik, Strategie-Design und Code-Struktur vom Autor verantwortet (siehe Anhang H für verwendete Prompts)</w:t>
            </w:r>
          </w:p>
        </w:tc>
        <w:tc>
          <w:tcPr>
            <w:tcW w:w="2617" w:type="dxa"/>
          </w:tcPr>
          <w:p w14:paraId="2B45AA0A" w14:textId="7BF7D5D9" w:rsidR="007D76DF" w:rsidRDefault="007D76DF" w:rsidP="007D76DF">
            <w:pPr>
              <w:jc w:val="left"/>
            </w:pPr>
            <w:r>
              <w:t>Kap. 3.3, 3.4, bsadf_core.py, backtest_v7.py</w:t>
            </w:r>
          </w:p>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30" w:name="_Toc229904540"/>
      <w:r>
        <w:lastRenderedPageBreak/>
        <w:t>Anhang A – Reproduzierbarkeit und Datenverfügbarkeit</w:t>
      </w:r>
      <w:bookmarkEnd w:id="130"/>
    </w:p>
    <w:p w14:paraId="49342D35" w14:textId="77777777" w:rsidR="005B48D7" w:rsidRDefault="005B48D7" w:rsidP="005B48D7">
      <w:r>
        <w:t>Der vollständige Quellcode (</w:t>
      </w:r>
      <w:r>
        <w:rPr>
          <w:rFonts w:ascii="Consolas" w:hAnsi="Consolas" w:cs="Consolas"/>
        </w:rPr>
        <w:t>bsadf_core.py</w:t>
      </w:r>
      <w:r>
        <w:t xml:space="preserve">, </w:t>
      </w:r>
      <w:r>
        <w:rPr>
          <w:rFonts w:ascii="Consolas" w:hAnsi="Consolas" w:cs="Consolas"/>
        </w:rPr>
        <w:t>backtest_v7.py</w:t>
      </w:r>
      <w:r>
        <w:t>, Build-Skripte für</w:t>
      </w:r>
    </w:p>
    <w:p w14:paraId="71B72105" w14:textId="77777777" w:rsidR="005B48D7" w:rsidRDefault="005B48D7" w:rsidP="005B48D7">
      <w:r>
        <w:t>Wild-Bootstrap, Monte-Carlo-Simulator), die ergänzenden Output-Dateien</w:t>
      </w:r>
    </w:p>
    <w:p w14:paraId="197AA3B2" w14:textId="55019A01" w:rsidR="005B48D7" w:rsidRDefault="005B48D7" w:rsidP="005B48D7">
      <w:r>
        <w:t>(</w:t>
      </w:r>
      <w:r>
        <w:rPr>
          <w:rFonts w:ascii="Consolas" w:hAnsi="Consolas" w:cs="Consolas"/>
        </w:rPr>
        <w:t>baseline_results_v7.csv</w:t>
      </w:r>
      <w:r>
        <w:t xml:space="preserve">, </w:t>
      </w:r>
      <w:r>
        <w:rPr>
          <w:rFonts w:ascii="Consolas" w:hAnsi="Consolas" w:cs="Consolas"/>
        </w:rPr>
        <w:t>bootstrap_v7_B5000.json</w:t>
      </w:r>
      <w:r>
        <w:t>,</w:t>
      </w:r>
    </w:p>
    <w:p w14:paraId="10E6A647" w14:textId="77777777" w:rsidR="005B48D7" w:rsidRDefault="005B48D7" w:rsidP="005B48D7">
      <w:r>
        <w:rPr>
          <w:rFonts w:ascii="Consolas" w:hAnsi="Consolas" w:cs="Consolas"/>
        </w:rPr>
        <w:t>wild_bootstrap_critical_values_v7_B5000.json</w:t>
      </w:r>
      <w:r>
        <w:t>,</w:t>
      </w:r>
    </w:p>
    <w:p w14:paraId="7B85B79F" w14:textId="00B2F236" w:rsidR="005B48D7" w:rsidRDefault="005B48D7" w:rsidP="005B48D7">
      <w:r>
        <w:rPr>
          <w:rFonts w:ascii="Consolas" w:hAnsi="Consolas" w:cs="Consolas"/>
        </w:rPr>
        <w:t>slippage_sensitivity_v7.csv</w:t>
      </w:r>
      <w:r>
        <w:t xml:space="preserve">, </w:t>
      </w:r>
      <w:r>
        <w:rPr>
          <w:rFonts w:ascii="Consolas" w:hAnsi="Consolas" w:cs="Consolas"/>
        </w:rPr>
        <w:t>lag_sensitivity_v7.csv</w:t>
      </w:r>
      <w:r>
        <w:t>,</w:t>
      </w:r>
    </w:p>
    <w:p w14:paraId="276F8D96" w14:textId="6F7D1CBE" w:rsidR="004C4AD2" w:rsidRDefault="005B48D7" w:rsidP="00D638CC">
      <w:r>
        <w:rPr>
          <w:rFonts w:ascii="Consolas" w:hAnsi="Consolas" w:cs="Consolas"/>
        </w:rPr>
        <w:t>crash_tag_audit_v7.csv</w:t>
      </w:r>
      <w:r>
        <w:t xml:space="preserve">, </w:t>
      </w:r>
      <w:r>
        <w:rPr>
          <w:rFonts w:ascii="Consolas" w:hAnsi="Consolas" w:cs="Consolas"/>
        </w:rPr>
        <w:t>pghn_trade_audit_v7.csv</w:t>
      </w:r>
      <w:r>
        <w:t xml:space="preserve">) </w:t>
      </w:r>
      <w:r w:rsidR="00D638CC" w:rsidRPr="00D638CC">
        <w:t>sowie die Vorgänger-Konfigurationen V3 sind unter folgender persistenter Adresse archiviert</w:t>
      </w:r>
      <w:r w:rsidR="00D638CC" w:rsidRPr="00D638CC">
        <w:t xml:space="preserve"> </w:t>
      </w:r>
      <w:proofErr w:type="spellStart"/>
      <w:r>
        <w:t>archiviert</w:t>
      </w:r>
      <w:proofErr w:type="spellEnd"/>
      <w:r>
        <w:t>:</w:t>
      </w:r>
    </w:p>
    <w:p w14:paraId="2A68AFB6" w14:textId="4DDA50D7" w:rsidR="005B48D7" w:rsidRDefault="005B48D7" w:rsidP="005B48D7">
      <w:pPr>
        <w:pStyle w:val="ListParagraph"/>
        <w:numPr>
          <w:ilvl w:val="0"/>
          <w:numId w:val="51"/>
        </w:numPr>
      </w:pPr>
      <w:r>
        <w:t xml:space="preserve">Github-Repository: </w:t>
      </w:r>
      <w:hyperlink r:id="rId34" w:history="1">
        <w:r>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5" w:history="1">
        <w:r>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6" w:history="1">
        <w:r>
          <w:rPr>
            <w:rStyle w:val="Hyperlink"/>
          </w:rPr>
          <w:t>62db384</w:t>
        </w:r>
      </w:hyperlink>
      <w:r>
        <w:t>)</w:t>
      </w:r>
    </w:p>
    <w:p w14:paraId="5FCE0CD0" w14:textId="77777777" w:rsidR="005B48D7" w:rsidRDefault="005B48D7" w:rsidP="00D760D1">
      <w:r>
        <w:t xml:space="preserve">Eine vollständige Reproduktion der Hauptergebnisse (Tabellen 3, 4, 5) gelingt mit Python 3.10+ und den in </w:t>
      </w:r>
      <w:r>
        <w:rPr>
          <w:rFonts w:ascii="Consolas" w:hAnsi="Consolas" w:cs="Consolas"/>
        </w:rPr>
        <w:t>requirements.txt</w:t>
      </w:r>
      <w:r>
        <w:t xml:space="preserve"> spezifizierten Versionen via: </w:t>
      </w:r>
    </w:p>
    <w:p w14:paraId="48836E5E" w14:textId="77777777" w:rsidR="005B48D7" w:rsidRDefault="005B48D7" w:rsidP="00D760D1">
      <w:r>
        <w:t xml:space="preserve">$ pip install -r </w:t>
      </w:r>
      <w:r>
        <w:rPr>
          <w:rFonts w:ascii="Consolas" w:hAnsi="Consolas" w:cs="Consolas"/>
        </w:rPr>
        <w:t>requirements.txt</w:t>
      </w:r>
      <w:r>
        <w:t xml:space="preserve"> </w:t>
      </w:r>
    </w:p>
    <w:p w14:paraId="38D402C3" w14:textId="77777777" w:rsidR="005B48D7" w:rsidRDefault="005B48D7" w:rsidP="00D760D1">
      <w:r>
        <w:t>$ python code/</w:t>
      </w:r>
      <w:r>
        <w:rPr>
          <w:rFonts w:ascii="Consolas" w:hAnsi="Consolas" w:cs="Consolas"/>
        </w:rPr>
        <w:t>backtest_v7.py</w:t>
      </w:r>
      <w:r>
        <w:t xml:space="preserve"> # erzeugt </w:t>
      </w:r>
      <w:r>
        <w:rPr>
          <w:rFonts w:ascii="Consolas" w:hAnsi="Consolas" w:cs="Consolas"/>
        </w:rPr>
        <w:t>baseline_results_v7.csv</w:t>
      </w:r>
      <w:r>
        <w:t xml:space="preserve"> </w:t>
      </w:r>
    </w:p>
    <w:p w14:paraId="6CFEE8CE" w14:textId="7FDC130E" w:rsidR="002879EF" w:rsidRDefault="005B48D7" w:rsidP="00D760D1">
      <w:r>
        <w:t>$ python code/</w:t>
      </w:r>
      <w:r>
        <w:rPr>
          <w:rFonts w:ascii="Consolas" w:hAnsi="Consolas" w:cs="Consolas"/>
        </w:rPr>
        <w:t>wb_chunk.py</w:t>
      </w:r>
      <w:r>
        <w:t xml:space="preserve"> 0 5000 # Wild-Bootstrap-CVs (≈30 min)</w:t>
      </w:r>
    </w:p>
    <w:p w14:paraId="5D7E3C4D" w14:textId="3F4B5016" w:rsidR="00DC7422" w:rsidRDefault="005B48D7" w:rsidP="00D760D1">
      <w:r>
        <w:t>Die Originaldaten (</w:t>
      </w:r>
      <w:r>
        <w:rPr>
          <w:rFonts w:ascii="Consolas" w:hAnsi="Consolas" w:cs="Consolas"/>
        </w:rPr>
        <w:t>Datenreihe.xlsx</w:t>
      </w:r>
      <w:r>
        <w:t>) basieren auf Tagesschlusskursen Bloomberg; aus Lizenzgründen ist diese Datei nicht öffentlich verfügbar.</w:t>
      </w:r>
    </w:p>
    <w:p w14:paraId="08B36726" w14:textId="3113229B" w:rsidR="00A91171" w:rsidRDefault="00A91171" w:rsidP="00D760D1">
      <w:r w:rsidRPr="00A91171">
        <w:rPr>
          <w:b/>
          <w:bCs/>
        </w:rPr>
        <w:t>Anmerkung zur Dateinamen-Konvention</w:t>
      </w:r>
    </w:p>
    <w:p w14:paraId="31B24ACF" w14:textId="30C4CB2E" w:rsidR="00A91171" w:rsidRDefault="00A91171" w:rsidP="00D760D1">
      <w:r w:rsidRPr="00A91171">
        <w:t>Der Dateiname bootstrap_v7_B5000.json bezieht sich auf die zugrundeliegenden Wild-Bootstrap-Schwellen (B = 5'000 Pfade unter H</w:t>
      </w:r>
      <w:r w:rsidRPr="00A91171">
        <w:rPr>
          <w:rFonts w:ascii="Cambria Math" w:hAnsi="Cambria Math" w:cs="Cambria Math"/>
        </w:rPr>
        <w:t>₀</w:t>
      </w:r>
      <w:r w:rsidRPr="00A91171">
        <w:t xml:space="preserve">), unter denen die </w:t>
      </w:r>
      <w:proofErr w:type="spellStart"/>
      <w:r w:rsidRPr="00A91171">
        <w:t>Stationary</w:t>
      </w:r>
      <w:proofErr w:type="spellEnd"/>
      <w:r w:rsidRPr="00A91171">
        <w:t>-Bootstrap-Inferenz durchgef</w:t>
      </w:r>
      <w:r w:rsidRPr="00A91171">
        <w:rPr>
          <w:rFonts w:cs="Arial"/>
        </w:rPr>
        <w:t>ü</w:t>
      </w:r>
      <w:r w:rsidRPr="00A91171">
        <w:t xml:space="preserve">hrt wird. Der </w:t>
      </w:r>
      <w:proofErr w:type="spellStart"/>
      <w:r w:rsidRPr="00A91171">
        <w:t>Stationary</w:t>
      </w:r>
      <w:proofErr w:type="spellEnd"/>
      <w:r w:rsidRPr="00A91171">
        <w:t>-Bootstrap selbst verwendet B = 100 Re-Simulationen mit mittlerer Blockl</w:t>
      </w:r>
      <w:r w:rsidRPr="00A91171">
        <w:rPr>
          <w:rFonts w:cs="Arial"/>
        </w:rPr>
        <w:t>ä</w:t>
      </w:r>
      <w:r w:rsidRPr="00A91171">
        <w:t xml:space="preserve">nge 21 Handelstagen (Politis &amp; Romano, 1994). Beide Parameter sind in den </w:t>
      </w:r>
      <w:proofErr w:type="spellStart"/>
      <w:r w:rsidRPr="00A91171">
        <w:t>method</w:t>
      </w:r>
      <w:proofErr w:type="spellEnd"/>
      <w:r w:rsidRPr="00A91171">
        <w:t>- und B-Feldern der JSON-Datei explizit dokumentiert; die Caption von Tabelle 4 zitiert die vollst</w:t>
      </w:r>
      <w:r w:rsidRPr="00A91171">
        <w:rPr>
          <w:rFonts w:cs="Arial"/>
        </w:rPr>
        <w:t>ä</w:t>
      </w:r>
      <w:r w:rsidRPr="00A91171">
        <w:t>ndige Konfiguration.</w:t>
      </w:r>
    </w:p>
    <w:p w14:paraId="5A360001" w14:textId="77777777" w:rsidR="002879EF" w:rsidRDefault="002879EF" w:rsidP="002879EF">
      <w:pPr>
        <w:pStyle w:val="Ueberschrift2ohneNummer"/>
      </w:pPr>
      <w:bookmarkStart w:id="131" w:name="_Toc229904541"/>
      <w:r>
        <w:t xml:space="preserve">Anhang B – </w:t>
      </w:r>
      <m:oMath>
        <m:r>
          <m:rPr>
            <m:sty m:val="b"/>
          </m:rPr>
          <w:rPr>
            <w:rFonts w:ascii="Cambria Math" w:hAnsi="Cambria Math"/>
          </w:rPr>
          <m:t>BSADF</m:t>
        </m:r>
      </m:oMath>
      <w:r>
        <w:t>-Robustheits-Diagnostik (</w:t>
      </w:r>
      <w:r>
        <w:rPr>
          <w:rFonts w:ascii="Consolas" w:hAnsi="Consolas" w:cs="Consolas"/>
        </w:rPr>
        <w:t>min_window</w:t>
      </w:r>
      <w:r>
        <w:t>-Variation)</w:t>
      </w:r>
      <w:bookmarkEnd w:id="131"/>
    </w:p>
    <w:p w14:paraId="1ECAD2E5" w14:textId="1D8D8993" w:rsidR="00F141DD" w:rsidRDefault="002879EF">
      <w:pPr>
        <w:rPr>
          <w:sz w:val="18"/>
          <w:szCs w:val="16"/>
        </w:rPr>
      </w:pPr>
      <w:r>
        <w:t xml:space="preserve">Im Hauptteil dieser V7-revidierten Arbeit wird das Minimum-Sub-Fenster für die </w:t>
      </w:r>
      <m:oMath>
        <m:r>
          <m:rPr>
            <m:sty m:val="p"/>
          </m:rPr>
          <w:rPr>
            <w:rFonts w:ascii="Cambria Math" w:hAnsi="Cambria Math"/>
          </w:rPr>
          <m:t>BSADF</m:t>
        </m:r>
      </m:oMath>
      <w:r>
        <w:t xml:space="preserve">-Suprema auf </w:t>
      </w:r>
      <w:r>
        <w:rPr>
          <w:rFonts w:ascii="Consolas" w:hAnsi="Consolas" w:cs="Consolas"/>
          <w:sz w:val="18"/>
          <w:szCs w:val="16"/>
        </w:rPr>
        <w:t>min_window</w:t>
      </w:r>
      <w:r>
        <w:t xml:space="preserve"> = 178 Handelstage gesetzt, in Übereinstimmung mit der PSY-(2015)-Empfehlung  für . Die nachfolgende Diagnostik dokumentiert zur Sensitivitätsbeurteilung die Vorgänger-Konfigurationen mit. Sie macht die Wirkung dieser Wahl auf die </w:t>
      </w:r>
      <m:oMath>
        <m:r>
          <m:rPr>
            <m:sty m:val="p"/>
          </m:rPr>
          <w:rPr>
            <w:rFonts w:ascii="Cambria Math" w:hAnsi="Cambria Math"/>
          </w:rPr>
          <m:t>BSADF</m:t>
        </m:r>
      </m:oMath>
      <w:r>
        <w:t xml:space="preserve">-Maxima transparent. Zur Diagnostik dokumentiert die folgende Tabelle die maximalen </w:t>
      </w:r>
      <m:oMath>
        <m:r>
          <m:rPr>
            <m:sty m:val="p"/>
          </m:rPr>
          <w:rPr>
            <w:rFonts w:ascii="Cambria Math" w:hAnsi="Cambria Math"/>
          </w:rPr>
          <m:t>BSADF</m:t>
        </m:r>
      </m:oMath>
      <w:r>
        <w:t xml:space="preserve">-Werte für drei alternative </w:t>
      </w:r>
      <w:r>
        <w:lastRenderedPageBreak/>
        <w:t xml:space="preserve">Sub-Fenster (30, 60, 120 Tage) sowie das Datum des Maximums bei </w:t>
      </w:r>
      <w:r>
        <w:rPr>
          <w:rFonts w:ascii="Consolas" w:hAnsi="Consolas" w:cs="Consolas"/>
          <w:sz w:val="18"/>
          <w:szCs w:val="16"/>
        </w:rPr>
        <w:t>min_window</w:t>
      </w:r>
      <w:r>
        <w:rPr>
          <w:sz w:val="18"/>
          <w:szCs w:val="16"/>
        </w:rPr>
        <w:t xml:space="preserve"> = 30 bzw. 60. </w:t>
      </w:r>
      <w:r>
        <w:t xml:space="preserve">Die Resultate sind in </w:t>
      </w:r>
      <w:r>
        <w:rPr>
          <w:rFonts w:ascii="Consolas" w:hAnsi="Consolas" w:cs="Consolas"/>
        </w:rPr>
        <w:t>baseline_results_v3.csv</w:t>
      </w:r>
      <w:r>
        <w:t xml:space="preserve"> und </w:t>
      </w:r>
      <w:r>
        <w:rPr>
          <w:rFonts w:ascii="Consolas" w:hAnsi="Consolas" w:cs="Consolas"/>
        </w:rPr>
        <w:t>anhang_b_bsadf_</w:t>
      </w:r>
      <w:r w:rsidR="00E349DA">
        <w:rPr>
          <w:rFonts w:ascii="Consolas" w:hAnsi="Consolas" w:cs="Consolas"/>
        </w:rPr>
        <w:t>v2</w:t>
      </w:r>
      <w:r>
        <w:rPr>
          <w:rFonts w:ascii="Consolas" w:hAnsi="Consolas" w:cs="Consolas"/>
        </w:rPr>
        <w:t>.csv</w:t>
      </w:r>
      <w:r>
        <w:t xml:space="preserve"> reproduzierbar</w:t>
      </w:r>
      <w:r>
        <w:rPr>
          <w:sz w:val="18"/>
          <w:szCs w:val="16"/>
        </w:rPr>
        <w:t>.</w:t>
      </w:r>
    </w:p>
    <w:p w14:paraId="5A360002" w14:textId="40DDF9F4" w:rsidR="002879EF" w:rsidRDefault="00000000">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r>
            <w:rPr>
              <w:rFonts w:ascii="Cambria Math" w:hAnsi="Cambria Math"/>
            </w:rPr>
            <m:t>T ≈5'000</m:t>
          </m:r>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m:oMathPara>
    </w:p>
    <w:tbl>
      <w:tblPr>
        <w:tblStyle w:val="TableGrid"/>
        <w:tblW w:w="0" w:type="auto"/>
        <w:tblLook w:val="04A0" w:firstRow="1" w:lastRow="0" w:firstColumn="1" w:lastColumn="0" w:noHBand="0" w:noVBand="1"/>
      </w:tblPr>
      <w:tblGrid>
        <w:gridCol w:w="1757"/>
        <w:gridCol w:w="1266"/>
        <w:gridCol w:w="1266"/>
        <w:gridCol w:w="1275"/>
        <w:gridCol w:w="1820"/>
        <w:gridCol w:w="1820"/>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t>Asset</w:t>
            </w:r>
          </w:p>
        </w:tc>
        <w:tc>
          <w:tcPr>
            <w:tcW w:w="1300" w:type="dxa"/>
            <w:shd w:val="clear" w:color="auto" w:fill="DAEEF3" w:themeFill="accent5" w:themeFillTint="33"/>
          </w:tcPr>
          <w:p w14:paraId="4E2C263E" w14:textId="77777777" w:rsidR="00D36EC9" w:rsidRDefault="00000000">
            <w:pPr>
              <w:jc w:val="right"/>
            </w:pPr>
            <w:r>
              <w:rPr>
                <w:b/>
              </w:rPr>
              <w:t xml:space="preserve">max </w:t>
            </w:r>
            <m:oMath>
              <m:r>
                <m:rPr>
                  <m:sty m:val="p"/>
                </m:rPr>
                <w:rPr>
                  <w:rFonts w:ascii="Cambria Math" w:hAnsi="Cambria Math"/>
                </w:rPr>
                <m:t>BSADF</m:t>
              </m:r>
            </m:oMath>
            <w:r>
              <w:rPr>
                <w:b/>
              </w:rPr>
              <w:t xml:space="preserve"> (n=30)</w:t>
            </w:r>
          </w:p>
        </w:tc>
        <w:tc>
          <w:tcPr>
            <w:tcW w:w="1300" w:type="dxa"/>
            <w:shd w:val="clear" w:color="auto" w:fill="DAEEF3" w:themeFill="accent5" w:themeFillTint="33"/>
          </w:tcPr>
          <w:p w14:paraId="0EC40672" w14:textId="77777777" w:rsidR="00D36EC9" w:rsidRDefault="00000000">
            <w:pPr>
              <w:jc w:val="right"/>
            </w:pPr>
            <w:r>
              <w:rPr>
                <w:b/>
              </w:rPr>
              <w:t xml:space="preserve">max </w:t>
            </w:r>
            <m:oMath>
              <m:r>
                <m:rPr>
                  <m:sty m:val="p"/>
                </m:rPr>
                <w:rPr>
                  <w:rFonts w:ascii="Cambria Math" w:hAnsi="Cambria Math"/>
                </w:rPr>
                <m:t>BSADF</m:t>
              </m:r>
            </m:oMath>
            <w:r>
              <w:rPr>
                <w:b/>
              </w:rPr>
              <w:t xml:space="preserve"> (n=60)</w:t>
            </w:r>
          </w:p>
        </w:tc>
        <w:tc>
          <w:tcPr>
            <w:tcW w:w="1300" w:type="dxa"/>
            <w:shd w:val="clear" w:color="auto" w:fill="DAEEF3" w:themeFill="accent5" w:themeFillTint="33"/>
          </w:tcPr>
          <w:p w14:paraId="113808CD" w14:textId="77777777" w:rsidR="00D36EC9" w:rsidRDefault="00000000">
            <w:pPr>
              <w:jc w:val="right"/>
            </w:pPr>
            <w:r>
              <w:rPr>
                <w:b/>
              </w:rPr>
              <w:t xml:space="preserve">max </w:t>
            </w:r>
            <m:oMath>
              <m:r>
                <m:rPr>
                  <m:sty m:val="p"/>
                </m:rPr>
                <w:rPr>
                  <w:rFonts w:ascii="Cambria Math" w:hAnsi="Cambria Math"/>
                </w:rPr>
                <m:t>BSADF</m:t>
              </m:r>
            </m:oMath>
            <w:r>
              <w:rPr>
                <w:b/>
              </w:rPr>
              <w:t xml:space="preserve"> (n=120)</w:t>
            </w:r>
          </w:p>
        </w:tc>
        <w:tc>
          <w:tcPr>
            <w:tcW w:w="1900" w:type="dxa"/>
            <w:shd w:val="clear" w:color="auto" w:fill="DAEEF3" w:themeFill="accent5" w:themeFillTint="33"/>
          </w:tcPr>
          <w:p w14:paraId="2DB65B98" w14:textId="77777777" w:rsidR="00D36EC9" w:rsidRDefault="00000000">
            <w:r>
              <w:rPr>
                <w:b/>
              </w:rPr>
              <w:t>Datum max (n=30)</w:t>
            </w:r>
          </w:p>
        </w:tc>
        <w:tc>
          <w:tcPr>
            <w:tcW w:w="1900" w:type="dxa"/>
            <w:shd w:val="clear" w:color="auto" w:fill="DAEEF3" w:themeFill="accent5" w:themeFillTint="33"/>
          </w:tcPr>
          <w:p w14:paraId="47E495C2" w14:textId="77777777" w:rsidR="00D36EC9" w:rsidRDefault="00000000">
            <w:r>
              <w:rPr>
                <w:b/>
              </w:rPr>
              <w:t>Datum max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sidP="002535CC">
            <w:pPr>
              <w:keepNext/>
            </w:pPr>
            <w:r>
              <w:t>2020-03-17</w:t>
            </w:r>
          </w:p>
        </w:tc>
      </w:tr>
    </w:tbl>
    <w:p w14:paraId="4DA9DD2F" w14:textId="3214CB3D" w:rsidR="002535CC" w:rsidRDefault="002535CC">
      <w:pPr>
        <w:pStyle w:val="Caption"/>
      </w:pPr>
      <w:bookmarkStart w:id="132" w:name="_Toc229904565"/>
      <w:r>
        <w:t xml:space="preserve">Tabelle-Anhang </w:t>
      </w:r>
      <w:r>
        <w:fldChar w:fldCharType="begin"/>
      </w:r>
      <w:r>
        <w:instrText xml:space="preserve"> SEQ Tabelle-Anhang \* ARABIC </w:instrText>
      </w:r>
      <w:r>
        <w:fldChar w:fldCharType="separate"/>
      </w:r>
      <w:r w:rsidR="000006B1">
        <w:rPr>
          <w:noProof/>
        </w:rPr>
        <w:t>1</w:t>
      </w:r>
      <w:r>
        <w:fldChar w:fldCharType="end"/>
      </w:r>
      <w:r>
        <w:t xml:space="preserve">: </w:t>
      </w:r>
      <w:r w:rsidRPr="002E3DDB">
        <w:t xml:space="preserve">Sensitivitätsbeurteilung V3-Vorgänger-Konfiguration, </w:t>
      </w:r>
      <w:proofErr w:type="spellStart"/>
      <w:r w:rsidRPr="002E3DDB">
        <w:t>max_lookback</w:t>
      </w:r>
      <w:proofErr w:type="spellEnd"/>
      <w:r w:rsidRPr="002E3DDB">
        <w:t xml:space="preserve"> = 126; n = 178 V7-Hauptmaximum siehe Anhang-Text</w:t>
      </w:r>
      <w:bookmarkEnd w:id="132"/>
    </w:p>
    <w:p w14:paraId="5A360003" w14:textId="27B46893" w:rsidR="00DC7422" w:rsidRPr="00F141DD" w:rsidRDefault="002879EF">
      <w:pPr>
        <w:rPr>
          <w:iCs/>
        </w:rPr>
      </w:pPr>
      <w:r>
        <w:rPr>
          <w:iCs/>
        </w:rPr>
        <w:t xml:space="preserve">Interpretation: Unter </w:t>
      </w:r>
      <w:proofErr w:type="spellStart"/>
      <w:r>
        <w:rPr>
          <w:rFonts w:ascii="Consolas" w:hAnsi="Consolas" w:cs="Consolas"/>
          <w:iCs/>
          <w:sz w:val="18"/>
          <w:szCs w:val="16"/>
        </w:rPr>
        <w:t>min_window</w:t>
      </w:r>
      <w:proofErr w:type="spellEnd"/>
      <w:r>
        <w:rPr>
          <w:iCs/>
          <w:sz w:val="18"/>
          <w:szCs w:val="16"/>
        </w:rPr>
        <w:t xml:space="preserve"> = 30 wird das absolute </w:t>
      </w:r>
      <m:oMath>
        <m:r>
          <m:rPr>
            <m:sty m:val="p"/>
          </m:rPr>
          <w:rPr>
            <w:rFonts w:ascii="Cambria Math" w:hAnsi="Cambria Math"/>
          </w:rPr>
          <m:t>BSADF</m:t>
        </m:r>
      </m:oMath>
      <w:r>
        <w:rPr>
          <w:iCs/>
        </w:rPr>
        <w:t xml:space="preserve">-Maximum bei Lonza und bei Partners Group durch ein sehr kurzes Sub-Fenster am 10. Oktober 2008 (Lehman-Tiefpunkt) erzeugt, also in einer Crash-Phase und nicht in einer vorausgehenden Bubble. Mit </w:t>
      </w:r>
      <w:r>
        <w:rPr>
          <w:rFonts w:ascii="Consolas" w:hAnsi="Consolas" w:cs="Consolas"/>
          <w:iCs/>
          <w:sz w:val="18"/>
          <w:szCs w:val="16"/>
        </w:rPr>
        <w:t>min_window</w:t>
      </w:r>
      <w:r>
        <w:rPr>
          <w:iCs/>
          <w:sz w:val="18"/>
          <w:szCs w:val="16"/>
        </w:rPr>
        <w:t xml:space="preserve"> = 60 </w:t>
      </w:r>
      <w:r>
        <w:rPr>
          <w:iCs/>
        </w:rPr>
        <w:t>(Vorgänger-V3-Konfiguration) verschieben sich die Maxima zu späteren Zeitpunkten</w:t>
      </w:r>
      <w:r>
        <w:rPr>
          <w:iCs/>
          <w:sz w:val="18"/>
          <w:szCs w:val="16"/>
        </w:rPr>
        <w:t xml:space="preserve">; mit </w:t>
      </w:r>
      <w:r>
        <w:rPr>
          <w:rFonts w:ascii="Consolas" w:hAnsi="Consolas" w:cs="Consolas"/>
          <w:iCs/>
          <w:sz w:val="18"/>
          <w:szCs w:val="16"/>
        </w:rPr>
        <w:t>min_window</w:t>
      </w:r>
      <w:r>
        <w:rPr>
          <w:iCs/>
          <w:sz w:val="18"/>
          <w:szCs w:val="16"/>
        </w:rPr>
        <w:t xml:space="preserve"> </w:t>
      </w:r>
      <w:r>
        <w:rPr>
          <w:iCs/>
        </w:rPr>
        <w:t xml:space="preserve">= 178 (PSY-konforme V7-Hauptkonfiguration) wandert das </w:t>
      </w:r>
      <m:oMath>
        <m:r>
          <m:rPr>
            <m:sty m:val="p"/>
          </m:rPr>
          <w:rPr>
            <w:rFonts w:ascii="Cambria Math" w:hAnsi="Cambria Math"/>
          </w:rPr>
          <m:t>BSADF</m:t>
        </m:r>
      </m:oMath>
      <w:r>
        <w:rPr>
          <w:iCs/>
        </w:rPr>
        <w:t xml:space="preserve">-Maximum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w:t>
      </w:r>
      <m:oMath>
        <m:r>
          <m:rPr>
            <m:sty m:val="p"/>
          </m:rPr>
          <w:rPr>
            <w:rFonts w:ascii="Cambria Math" w:hAnsi="Cambria Math"/>
          </w:rPr>
          <m:t>BSADF</m:t>
        </m:r>
      </m:oMath>
      <w:r>
        <w:rPr>
          <w:iCs/>
        </w:rPr>
        <w:t xml:space="preserve">-Werte fallen über alle fünf Titel um den Faktor 1.4 bis 3.1. In der V7-Hauptkonfiguration wird </w:t>
      </w:r>
      <w:r>
        <w:rPr>
          <w:rFonts w:ascii="Consolas" w:hAnsi="Consolas" w:cs="Consolas"/>
          <w:iCs/>
        </w:rPr>
        <w:t>min_window</w:t>
      </w:r>
      <w:r>
        <w:rPr>
          <w:iCs/>
        </w:rPr>
        <w:t xml:space="preserve"> = 178 verwendet (PSY-konform für T ≈ 5'000). Die Diagnostik in dieser Tabelle dokumentiert die Vorgänger-Konfigurationen mw </w:t>
      </w:r>
      <w:r>
        <w:rPr>
          <w:rFonts w:ascii="Cambria Math" w:hAnsi="Cambria Math" w:cs="Cambria Math"/>
          <w:iCs/>
        </w:rPr>
        <w:t>∈</w:t>
      </w:r>
      <w:r>
        <w:rPr>
          <w:iCs/>
        </w:rPr>
        <w:t xml:space="preserve"> {30, 60, 120} und macht transparent, dass </w:t>
      </w:r>
      <w:r>
        <w:rPr>
          <w:rFonts w:ascii="Consolas" w:hAnsi="Consolas" w:cs="Consolas"/>
          <w:iCs/>
        </w:rPr>
        <w:t>min_window</w:t>
      </w:r>
      <w:r>
        <w:rPr>
          <w:iCs/>
        </w:rPr>
        <w:t xml:space="preserve"> = 30 in zwei von fünf Titeln auf Crash-Rebound-Tage zeigt (Lonza und PGHN am Lehman-Tiefpunkt 10.10.2008), während </w:t>
      </w:r>
      <w:r>
        <w:rPr>
          <w:rFonts w:ascii="Consolas" w:hAnsi="Consolas" w:cs="Consolas"/>
          <w:iCs/>
        </w:rPr>
        <w:t>min_window</w:t>
      </w:r>
      <w:r>
        <w:rPr>
          <w:iCs/>
        </w:rPr>
        <w:t xml:space="preserve"> = 60 bei PGHN noch immer auf den COVID-Tiefpunkt 17.03.2020 fällt. Erst </w:t>
      </w:r>
      <w:r>
        <w:rPr>
          <w:rFonts w:ascii="Consolas" w:hAnsi="Consolas" w:cs="Consolas"/>
          <w:iCs/>
        </w:rPr>
        <w:t>min_window</w:t>
      </w:r>
      <w:r>
        <w:rPr>
          <w:iCs/>
        </w:rPr>
        <w:t xml:space="preserve"> = 178 verlagert die </w:t>
      </w:r>
      <m:oMath>
        <m:r>
          <m:rPr>
            <m:sty m:val="p"/>
          </m:rPr>
          <w:rPr>
            <w:rFonts w:ascii="Cambria Math" w:hAnsi="Cambria Math"/>
          </w:rPr>
          <m:t>BSADF</m:t>
        </m:r>
      </m:oMath>
      <w:r>
        <w:rPr>
          <w:iCs/>
        </w:rPr>
        <w:t xml:space="preserve">-Maxima konsequent auf Bubble-Tage. Eine Ausnahme bildet Partners Group, dessen </w:t>
      </w:r>
      <w:r>
        <w:rPr>
          <w:rFonts w:ascii="Consolas" w:hAnsi="Consolas" w:cs="Consolas"/>
          <w:iCs/>
        </w:rPr>
        <w:t>min_window</w:t>
      </w:r>
      <w:r>
        <w:rPr>
          <w:iCs/>
        </w:rPr>
        <w:t xml:space="preserve"> auf den 21.11.2008 (Lehman-Aftermath) fällt; auch unter der PSY-konformen Wahl bleibt damit eine residuelle </w:t>
      </w:r>
      <w:r>
        <w:rPr>
          <w:iCs/>
        </w:rPr>
        <w:lastRenderedPageBreak/>
        <w:t>Detektor-Schwäche bei PGHN bestehen, die im Hauptbacktest durch den Direktionalfilter (Kap. 3.4.4) entschärft wird.</w:t>
      </w:r>
    </w:p>
    <w:p w14:paraId="1F737D16" w14:textId="61119C2C" w:rsidR="00DC47DC" w:rsidRDefault="00DC47DC" w:rsidP="00DC47DC">
      <w:pPr>
        <w:pStyle w:val="Ueberschrift2ohneNummer"/>
      </w:pPr>
      <w:bookmarkStart w:id="133" w:name="_Toc229904542"/>
      <w:r>
        <w:t>Anhang C – V7-Methodik-Spezifikation</w:t>
      </w:r>
      <w:bookmarkEnd w:id="133"/>
    </w:p>
    <w:p w14:paraId="22480AC8" w14:textId="77777777" w:rsidR="004D04DD" w:rsidRDefault="004D04DD" w:rsidP="00DC7422">
      <w:r>
        <w:rPr>
          <w:rFonts w:eastAsia="Calibri"/>
        </w:rPr>
        <w:t xml:space="preserve">Dieser Anhang fasst die vier methodischen Komponenten der V7-Konfiguration kompakt zusammen. Die kanonische Implementierung liegt in </w:t>
      </w:r>
      <w:r>
        <w:rPr>
          <w:rFonts w:ascii="Consolas" w:hAnsi="Consolas" w:cs="Consolas"/>
        </w:rPr>
        <w:t>backtest_v7.py</w:t>
      </w:r>
      <w:r>
        <w:rPr>
          <w:rFonts w:eastAsia="Calibri"/>
        </w:rPr>
        <w:t xml:space="preserve"> vor.</w:t>
      </w:r>
    </w:p>
    <w:p w14:paraId="7F81FC25" w14:textId="0152825E" w:rsidR="004D04DD" w:rsidRPr="004D04DD" w:rsidRDefault="004D04DD" w:rsidP="00DC7422">
      <w:pPr>
        <w:rPr>
          <w:b/>
          <w:bCs/>
        </w:rPr>
      </w:pPr>
      <w:r>
        <w:rPr>
          <w:rFonts w:eastAsia="Calibri"/>
          <w:b/>
          <w:bCs/>
        </w:rPr>
        <w:t xml:space="preserve">C.1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 xml:space="preserve">score = </w:t>
      </w:r>
      <w:r>
        <w:rPr>
          <w:rFonts w:ascii="Consolas" w:hAnsi="Consolas" w:cs="Consolas"/>
        </w:rPr>
        <w:t>bsadf_scores[t-2]</w:t>
      </w:r>
      <w:r>
        <w:rPr>
          <w:rFonts w:eastAsia="Calibri"/>
        </w:rPr>
        <w:t xml:space="preserve"> (</w:t>
      </w:r>
      <m:oMath>
        <m:r>
          <m:rPr>
            <m:sty m:val="p"/>
          </m:rPr>
          <w:rPr>
            <w:rFonts w:ascii="Cambria Math" w:hAnsi="Cambria Math"/>
          </w:rPr>
          <m:t>BSADF</m:t>
        </m:r>
      </m:oMath>
      <w:r>
        <w:rPr>
          <w:rFonts w:eastAsia="Calibri"/>
        </w:rPr>
        <w:t xml:space="preserve"> berechnet aus Preisen bis t-2)</w:t>
      </w:r>
    </w:p>
    <w:p w14:paraId="79C57CD3" w14:textId="77777777" w:rsidR="004D04DD" w:rsidRDefault="004D04DD" w:rsidP="00DC7422">
      <w:r>
        <w:rPr>
          <w:rFonts w:ascii="Consolas" w:hAnsi="Consolas" w:cs="Consolas"/>
        </w:rPr>
        <w:t>prices[t-2]</w:t>
      </w:r>
      <w:r>
        <w:rPr>
          <w:rFonts w:eastAsia="Calibri"/>
        </w:rPr>
        <w:t xml:space="preserve"> für </w:t>
      </w:r>
      <w:r>
        <w:rPr>
          <w:rFonts w:ascii="Consolas" w:hAnsi="Consolas" w:cs="Consolas"/>
        </w:rPr>
        <w:t>SMA20</w:t>
      </w:r>
      <w:r>
        <w:rPr>
          <w:rFonts w:eastAsia="Calibri"/>
        </w:rPr>
        <w:t>-Vergleich und Trend-Check</w:t>
      </w:r>
    </w:p>
    <w:p w14:paraId="2852ADDB" w14:textId="77777777" w:rsidR="004D04DD" w:rsidRDefault="004D04DD" w:rsidP="00DC7422">
      <w:r>
        <w:rPr>
          <w:rFonts w:eastAsia="Calibri"/>
        </w:rPr>
        <w:t xml:space="preserve">Rendite-Capture-Periode: </w:t>
      </w:r>
      <w:r>
        <w:rPr>
          <w:rFonts w:ascii="Consolas" w:hAnsi="Consolas" w:cs="Consolas"/>
        </w:rPr>
        <w:t>prices[t]</w:t>
      </w:r>
      <w:r>
        <w:rPr>
          <w:rFonts w:eastAsia="Calibri"/>
        </w:rPr>
        <w:t>/</w:t>
      </w:r>
      <w:r>
        <w:rPr>
          <w:rFonts w:ascii="Consolas" w:hAnsi="Consolas" w:cs="Consolas"/>
        </w:rPr>
        <w:t>prices[t-1]</w:t>
      </w:r>
    </w:p>
    <w:p w14:paraId="06E46023" w14:textId="77777777" w:rsidR="004D04DD" w:rsidRDefault="004D04DD" w:rsidP="00DC7422">
      <w:r>
        <w:rPr>
          <w:rFonts w:eastAsia="Calibri"/>
        </w:rPr>
        <w:t xml:space="preserve">Operative Lesart: Beobachtung des Schlusskurses an Tag t-2 → Berechnung der </w:t>
      </w:r>
      <m:oMath>
        <m:r>
          <m:rPr>
            <m:sty m:val="p"/>
          </m:rPr>
          <w:rPr>
            <w:rFonts w:ascii="Cambria Math" w:hAnsi="Cambria Math"/>
          </w:rPr>
          <m:t>BSADF</m:t>
        </m:r>
      </m:oMath>
      <w:r>
        <w:rPr>
          <w:rFonts w:eastAsia="Calibri"/>
        </w:rPr>
        <w:t xml:space="preserve"> → Market-on-Close-Order für Tag t-1 → Position über Tag t. Damit liegt mindestens ein voller Handelstag zwischen Signal-Bildung und Trade-Ausführung.</w:t>
      </w:r>
    </w:p>
    <w:p w14:paraId="0248CD53" w14:textId="5F27666B" w:rsidR="004D04DD" w:rsidRPr="004D04DD" w:rsidRDefault="004D04DD" w:rsidP="00DC7422">
      <w:pPr>
        <w:rPr>
          <w:b/>
          <w:bCs/>
        </w:rPr>
      </w:pPr>
      <w:r>
        <w:rPr>
          <w:rFonts w:eastAsia="Calibri"/>
          <w:b/>
          <w:bCs/>
        </w:rPr>
        <w:t>C.2   Pre-computed Wild-Bootstrap-Schwellen</w:t>
      </w:r>
    </w:p>
    <w:p w14:paraId="3DF99BE1" w14:textId="7660C966" w:rsidR="004D04DD" w:rsidRDefault="004D04DD" w:rsidP="00DC7422">
      <w:r>
        <w:rPr>
          <w:rFonts w:eastAsia="Calibri"/>
        </w:rPr>
        <w:t xml:space="preserve">Die kritischen </w:t>
      </w:r>
      <m:oMath>
        <m:r>
          <m:rPr>
            <m:sty m:val="p"/>
          </m:rPr>
          <w:rPr>
            <w:rFonts w:ascii="Cambria Math" w:hAnsi="Cambria Math"/>
          </w:rPr>
          <m:t>BSADF</m:t>
        </m:r>
      </m:oMath>
      <w:r>
        <w:rPr>
          <w:rFonts w:eastAsia="Calibri"/>
        </w:rPr>
        <w:t xml:space="preserve">-Werte werden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(Random Walk mit empirischer Volatilität, Rademacher-Wild-Schock) durch Wild-Bootstrap pre-computed und sind ex-post fix</w:t>
      </w:r>
      <w:r w:rsidR="003747C5">
        <w:rPr>
          <w:rFonts w:eastAsia="Calibri"/>
        </w:rPr>
        <w:t>.</w:t>
      </w:r>
    </w:p>
    <w:p w14:paraId="0F8122AA" w14:textId="0ACE001C" w:rsidR="004D04DD" w:rsidRPr="004D04DD" w:rsidRDefault="004D04DD" w:rsidP="00DC7422">
      <w:pPr>
        <w:rPr>
          <w:b/>
          <w:bCs/>
        </w:rPr>
      </w:pPr>
      <w:r>
        <w:rPr>
          <w:rFonts w:eastAsia="Calibri"/>
          <w:b/>
          <w:bCs/>
        </w:rPr>
        <w:t xml:space="preserve">C.3   Direktionaler </w:t>
      </w:r>
      <w:proofErr w:type="spellStart"/>
      <w:r>
        <w:rPr>
          <w:rFonts w:eastAsia="Calibri"/>
          <w:b/>
          <w:bCs/>
        </w:rPr>
        <w:t>Pre</w:t>
      </w:r>
      <w:proofErr w:type="spellEnd"/>
      <w:r>
        <w:rPr>
          <w:rFonts w:eastAsia="Calibri"/>
          <w:b/>
          <w:bCs/>
        </w:rPr>
        <w:t xml:space="preserve">-Filter </w:t>
      </w:r>
    </w:p>
    <w:p w14:paraId="681B8343" w14:textId="77777777" w:rsidR="004D04DD" w:rsidRDefault="004D04DD" w:rsidP="00DC7422">
      <w:r>
        <w:rPr>
          <w:rFonts w:eastAsia="Calibri"/>
        </w:rPr>
        <w:t xml:space="preserve">Der Panik-Trigger (score &gt;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 xml:space="preserve">Panik wird nur ausgeführt, falls </w:t>
      </w:r>
      <w:r>
        <w:rPr>
          <w:rFonts w:ascii="Consolas" w:hAnsi="Consolas" w:cs="Consolas"/>
          <w:color w:val="333333"/>
          <w:sz w:val="20"/>
        </w:rPr>
        <w:t>prices[t-2]</w:t>
      </w:r>
      <w:r>
        <w:rPr>
          <w:rFonts w:ascii="Consolas" w:eastAsia="Consolas" w:hAnsi="Consolas" w:cs="Consolas"/>
          <w:color w:val="333333"/>
          <w:sz w:val="20"/>
        </w:rPr>
        <w:t xml:space="preserve"> &gt; prices[t-2 - 60]</w:t>
      </w:r>
    </w:p>
    <w:p w14:paraId="23791AC8" w14:textId="77777777" w:rsidR="004D04DD" w:rsidRDefault="004D04DD" w:rsidP="00DC7422">
      <w:r>
        <w:rPr>
          <w:rFonts w:eastAsia="Calibri"/>
        </w:rPr>
        <w:t>Andernfalls hält die Strategie ihre bisherige Aktienquote (target = prev_w). Im Sample werden dadurch 60 Panik-Trigger über alle fünf Titel unterdrückt; das Crash-Tag-Audit (Anhang D) bestätigt, dass V7 unter dieser Logik null Crash-Tag-Verkäufe macht (V3: 3 bei Partners Group).</w:t>
      </w:r>
    </w:p>
    <w:p w14:paraId="78052506" w14:textId="1F3DA368" w:rsidR="004D04DD" w:rsidRPr="004D04DD" w:rsidRDefault="004D04DD" w:rsidP="00DC7422">
      <w:pPr>
        <w:rPr>
          <w:b/>
          <w:bCs/>
        </w:rPr>
      </w:pPr>
      <w:r>
        <w:rPr>
          <w:rFonts w:eastAsia="Calibri"/>
          <w:b/>
          <w:bCs/>
        </w:rPr>
        <w:t>C.4   Dynamisches Slippage-Modell</w:t>
      </w:r>
    </w:p>
    <w:p w14:paraId="786A5B20" w14:textId="77777777" w:rsidR="004D04DD" w:rsidRDefault="00000000" w:rsidP="00DC7422">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rPr>
          <w:rFonts w:eastAsia="Consolas"/>
        </w:rPr>
        <w:t xml:space="preserve"> = clip(0.005 + 2 · </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Pr>
          <w:rFonts w:eastAsia="Consolas"/>
        </w:rPr>
        <w:t>, 0.025, 0.20)</w:t>
      </w:r>
    </w:p>
    <w:p w14:paraId="77F252C1" w14:textId="0335F7B2" w:rsidR="00DC7422" w:rsidRDefault="00000000" w:rsidP="00DC7422">
      <w:pPr>
        <w:rPr>
          <w:rFonts w:eastAsia="Calibri"/>
        </w:rPr>
      </w:pP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Pr>
          <w:rFonts w:eastAsia="Calibri"/>
        </w:rPr>
        <w:t xml:space="preserve"> ist die rollierende 5-Tages-Volatilität der Log-Returns. Floor 2.5 %, Cap 20 %. </w:t>
      </w:r>
      <w:r>
        <w:t xml:space="preserve">Almgren und Chriss (2000) </w:t>
      </w:r>
      <w:r>
        <w:rPr>
          <w:rFonts w:eastAsia="Calibri"/>
        </w:rPr>
        <w:t>-inspiriert.</w:t>
      </w:r>
    </w:p>
    <w:p w14:paraId="4157CFC5" w14:textId="4E260F93" w:rsidR="00DC47DC" w:rsidRDefault="00DC47DC" w:rsidP="00DC47DC">
      <w:pPr>
        <w:pStyle w:val="Ueberschrift2ohneNummer"/>
      </w:pPr>
      <w:bookmarkStart w:id="134" w:name="_Toc229904543"/>
      <w:r>
        <w:t>Anhang D – Crash-Tag-Audit-Tabelle</w:t>
      </w:r>
      <w:bookmarkEnd w:id="134"/>
    </w:p>
    <w:p w14:paraId="6C2A5E84" w14:textId="77777777" w:rsidR="004D04DD" w:rsidRDefault="004D04DD" w:rsidP="004D04DD">
      <w:r>
        <w:rPr>
          <w:rFonts w:eastAsia="Calibri"/>
        </w:rPr>
        <w:t xml:space="preserve">Der Crash-Tag-Audit prüft, ob die V7-Strategie Panik-Verkäufe in fallenden Märkten (Crash-Phasen) ausführt. Ein Crash-Tag-Verkauf liegt vor, wenn die Forward-Performance über 6 </w:t>
      </w:r>
      <w:r>
        <w:rPr>
          <w:rFonts w:eastAsia="Calibri"/>
        </w:rPr>
        <w:lastRenderedPageBreak/>
        <w:t>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(Bwd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(Bwd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18</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59</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CD3974">
            <w:pPr>
              <w:keepNext/>
            </w:pPr>
            <w:r>
              <w:rPr>
                <w:rFonts w:eastAsia="Calibri"/>
                <w:color w:val="000000"/>
                <w:sz w:val="19"/>
                <w:szCs w:val="19"/>
              </w:rPr>
              <w:t>60</w:t>
            </w:r>
          </w:p>
        </w:tc>
      </w:tr>
    </w:tbl>
    <w:p w14:paraId="1F9B6619" w14:textId="1B473E64" w:rsidR="00CD3974" w:rsidRDefault="00CD3974">
      <w:pPr>
        <w:pStyle w:val="Caption"/>
      </w:pPr>
      <w:bookmarkStart w:id="135" w:name="_Toc229904566"/>
      <w:r>
        <w:t xml:space="preserve">Tabelle-Anhang </w:t>
      </w:r>
      <w:r>
        <w:fldChar w:fldCharType="begin"/>
      </w:r>
      <w:r>
        <w:instrText xml:space="preserve"> SEQ Tabelle-Anhang \* ARABIC </w:instrText>
      </w:r>
      <w:r>
        <w:fldChar w:fldCharType="separate"/>
      </w:r>
      <w:r w:rsidR="000006B1">
        <w:rPr>
          <w:noProof/>
        </w:rPr>
        <w:t>2</w:t>
      </w:r>
      <w:r>
        <w:fldChar w:fldCharType="end"/>
      </w:r>
      <w:r>
        <w:t xml:space="preserve">: </w:t>
      </w:r>
      <w:r w:rsidRPr="004E1CE9">
        <w:t>V7-Panik-Trades je Titel, klassifiziert nach 6-Monats-Backward-Performance am Trade-Tag</w:t>
      </w:r>
      <w:bookmarkEnd w:id="135"/>
    </w:p>
    <w:p w14:paraId="7960F58C" w14:textId="26F68937" w:rsidR="004D04DD" w:rsidRDefault="004D04DD" w:rsidP="004D04DD">
      <w:r>
        <w:rPr>
          <w:rFonts w:eastAsia="Calibri"/>
          <w:i/>
          <w:iCs/>
          <w:color w:val="555555"/>
          <w:sz w:val="20"/>
        </w:rPr>
        <w:t xml:space="preserve">Reproduzierbar aus </w:t>
      </w:r>
      <w:r>
        <w:rPr>
          <w:rFonts w:ascii="Consolas" w:hAnsi="Consolas" w:cs="Consolas"/>
          <w:i/>
          <w:iCs/>
          <w:color w:val="555555"/>
          <w:sz w:val="20"/>
        </w:rPr>
        <w:t>crash_tag_audit_v7.csv</w:t>
      </w:r>
      <w:r>
        <w:rPr>
          <w:rFonts w:eastAsia="Calibri"/>
          <w:i/>
          <w:iCs/>
          <w:color w:val="555555"/>
          <w:sz w:val="20"/>
        </w:rPr>
        <w:t>.</w:t>
      </w:r>
    </w:p>
    <w:p w14:paraId="31BE2638" w14:textId="3665E36A" w:rsidR="00DC7422" w:rsidRDefault="004D04DD" w:rsidP="004D04DD">
      <w:pPr>
        <w:rPr>
          <w:rFonts w:eastAsia="Calibri"/>
        </w:rPr>
      </w:pPr>
      <w:r>
        <w:rPr>
          <w:rFonts w:eastAsia="Calibri"/>
        </w:rPr>
        <w:t>Befund: Über alle fünf Titel und 59 ausgeführte Panik-Trades entstehen unter der V7-Strategie null Crash-Tag-Verkäufe. 57 von 59 Trades fallen auf Bubble-Tage (Backward-Performance über 6 Monate &gt; +20 %), zwei sind indifferent (zwischen −10 % und +20 %). 60 zusätzliche Panik-Trigger werden durch den Direktionalfilter unterdrückt — insbesondere bei Logitech (35 unterdrückte Trigger) und Partners Group (22).</w:t>
      </w:r>
    </w:p>
    <w:p w14:paraId="338EE946" w14:textId="45EF0EE9" w:rsidR="00DC47DC" w:rsidRDefault="00DC47DC" w:rsidP="00DC47DC">
      <w:pPr>
        <w:pStyle w:val="Ueberschrift2ohneNummer"/>
      </w:pPr>
      <w:bookmarkStart w:id="136" w:name="_Toc229904544"/>
      <w:r>
        <w:t>Anhang E – PGHN-Trade-Audit-Tabelle</w:t>
      </w:r>
      <w:bookmarkEnd w:id="136"/>
    </w:p>
    <w:p w14:paraId="031F6120" w14:textId="77777777" w:rsidR="004D04DD" w:rsidRDefault="004D04DD" w:rsidP="004D04DD">
      <w:r>
        <w:rPr>
          <w:rFonts w:eastAsia="Calibri"/>
        </w:rPr>
        <w:t>Die folgende Tabelle dokumentiert alle 18 Panik-Verkäufe der V7-Strategie auf der Partners-Group-Zeitreihe. Für jeden Trade ist der Schlusskurs am Trade-Tag, der zugehörige -Score, die dynamische Slippage sowie die Backward- und Forward-Performance über sechs Monate angegeben.</w:t>
      </w:r>
      <m:oMath>
        <m:r>
          <m:rPr>
            <m:sty m:val="p"/>
          </m:rPr>
          <w:rPr>
            <w:rFonts w:ascii="Cambria Math" w:hAnsi="Cambria Math"/>
          </w:rPr>
          <m:t>BSADF</m:t>
        </m:r>
      </m:oMath>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095"/>
        <w:gridCol w:w="899"/>
        <w:gridCol w:w="926"/>
        <w:gridCol w:w="895"/>
        <w:gridCol w:w="1094"/>
        <w:gridCol w:w="1094"/>
        <w:gridCol w:w="1500"/>
      </w:tblGrid>
      <w:tr w:rsidR="004D04DD" w14:paraId="24431576" w14:textId="77777777" w:rsidTr="007D3AC1">
        <w:trPr>
          <w:tblHeader/>
        </w:trPr>
        <w:tc>
          <w:tcPr>
            <w:tcW w:w="1297"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t>Datum</w:t>
            </w:r>
          </w:p>
        </w:tc>
        <w:tc>
          <w:tcPr>
            <w:tcW w:w="10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899"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m:oMathPara>
              <m:oMath>
                <m:r>
                  <m:rPr>
                    <m:sty m:val="p"/>
                  </m:rPr>
                  <w:rPr>
                    <w:rFonts w:ascii="Cambria Math" w:hAnsi="Cambria Math"/>
                  </w:rPr>
                  <m:t>BSADF</m:t>
                </m:r>
              </m:oMath>
            </m:oMathPara>
          </w:p>
        </w:tc>
        <w:tc>
          <w:tcPr>
            <w:tcW w:w="926"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ascii="Consolas" w:hAnsi="Consolas" w:cs="Consolas"/>
              </w:rPr>
              <w:t>vol_5d</w:t>
            </w:r>
          </w:p>
        </w:tc>
        <w:tc>
          <w:tcPr>
            <w:tcW w:w="8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lastRenderedPageBreak/>
              <w:t>27.12.2006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t>27.10.2010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7D3AC1" w14:paraId="2438524A"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D2FB78" w14:textId="1936D267" w:rsidR="007D3AC1" w:rsidRDefault="007D3AC1" w:rsidP="004D04DD">
            <w:pPr>
              <w:rPr>
                <w:rFonts w:eastAsia="Calibri"/>
                <w:color w:val="000000"/>
                <w:sz w:val="19"/>
                <w:szCs w:val="19"/>
              </w:rPr>
            </w:pPr>
            <w:r>
              <w:rPr>
                <w:rFonts w:eastAsia="Calibri"/>
                <w:color w:val="000000"/>
                <w:sz w:val="19"/>
                <w:szCs w:val="19"/>
              </w:rPr>
              <w:t>04.05.2017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06143E" w14:textId="7A4EBFD5" w:rsidR="007D3AC1" w:rsidRDefault="007D3AC1" w:rsidP="004D04DD">
            <w:pPr>
              <w:rPr>
                <w:rFonts w:eastAsia="Calibri"/>
                <w:color w:val="000000"/>
                <w:sz w:val="19"/>
                <w:szCs w:val="19"/>
              </w:rPr>
            </w:pPr>
            <w:r>
              <w:rPr>
                <w:rFonts w:eastAsia="Calibri"/>
                <w:color w:val="000000"/>
                <w:sz w:val="19"/>
                <w:szCs w:val="19"/>
              </w:rPr>
              <w:t>610.0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436CB5" w14:textId="6E3261F6" w:rsidR="007D3AC1" w:rsidRDefault="007D3AC1" w:rsidP="004D04DD">
            <w:pPr>
              <w:rPr>
                <w:rFonts w:eastAsia="Calibri"/>
                <w:color w:val="000000"/>
                <w:sz w:val="19"/>
                <w:szCs w:val="19"/>
              </w:rPr>
            </w:pPr>
            <w:r>
              <w:rPr>
                <w:rFonts w:eastAsia="Calibri"/>
                <w:color w:val="000000"/>
                <w:sz w:val="19"/>
                <w:szCs w:val="19"/>
              </w:rPr>
              <w:t>0.997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AE41F5" w14:textId="3181528A" w:rsidR="007D3AC1" w:rsidRDefault="00FB636C" w:rsidP="004D04DD">
            <w:pPr>
              <w:rPr>
                <w:rFonts w:eastAsia="Calibri"/>
                <w:color w:val="000000"/>
                <w:sz w:val="19"/>
                <w:szCs w:val="19"/>
              </w:rPr>
            </w:pPr>
            <w:r>
              <w:rPr>
                <w:rFonts w:eastAsia="Calibri"/>
                <w:color w:val="000000"/>
                <w:sz w:val="19"/>
                <w:szCs w:val="19"/>
              </w:rPr>
              <w:t>0.0039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25248E" w14:textId="2DEF8ED4" w:rsidR="007D3AC1" w:rsidRDefault="007D3AC1" w:rsidP="004D04DD">
            <w:pPr>
              <w:rPr>
                <w:rFonts w:eastAsia="Calibri"/>
                <w:color w:val="000000"/>
                <w:sz w:val="19"/>
                <w:szCs w:val="19"/>
              </w:rPr>
            </w:pPr>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8192E" w14:textId="59A5BA50" w:rsidR="007D3AC1" w:rsidRDefault="007D3AC1" w:rsidP="004D04DD">
            <w:pPr>
              <w:rPr>
                <w:rFonts w:eastAsia="Calibri"/>
                <w:color w:val="000000"/>
                <w:sz w:val="19"/>
                <w:szCs w:val="19"/>
              </w:rPr>
            </w:pPr>
            <w:r>
              <w:rPr>
                <w:rFonts w:eastAsia="Calibri"/>
                <w:color w:val="000000"/>
                <w:sz w:val="19"/>
                <w:szCs w:val="19"/>
              </w:rPr>
              <w:t>+24.1 %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EAB907" w14:textId="282F5139" w:rsidR="007D3AC1" w:rsidRDefault="007D3AC1" w:rsidP="004D04DD">
            <w:pPr>
              <w:rPr>
                <w:rFonts w:eastAsia="Calibri"/>
                <w:color w:val="000000"/>
                <w:sz w:val="19"/>
                <w:szCs w:val="19"/>
              </w:rPr>
            </w:pPr>
            <w:r>
              <w:rPr>
                <w:rFonts w:eastAsia="Calibri"/>
                <w:color w:val="000000"/>
                <w:sz w:val="19"/>
                <w:szCs w:val="19"/>
              </w:rPr>
              <w:t>+9.</w:t>
            </w:r>
            <w:r w:rsidR="00243C80">
              <w:rPr>
                <w:rFonts w:eastAsia="Calibri"/>
                <w:color w:val="000000"/>
                <w:sz w:val="19"/>
                <w:szCs w:val="19"/>
              </w:rPr>
              <w:t>6</w:t>
            </w:r>
            <w:r>
              <w:rPr>
                <w:rFonts w:eastAsia="Calibri"/>
                <w:color w:val="000000"/>
                <w:sz w:val="19"/>
                <w:szCs w:val="19"/>
              </w:rPr>
              <w:t xml:space="preserve">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DC907AC" w14:textId="444B63B1" w:rsidR="007D3AC1" w:rsidRDefault="007D3AC1" w:rsidP="004D04DD">
            <w:pPr>
              <w:rPr>
                <w:rFonts w:eastAsia="Calibri"/>
                <w:color w:val="000000"/>
                <w:sz w:val="19"/>
                <w:szCs w:val="19"/>
              </w:rPr>
            </w:pPr>
            <w:r>
              <w:rPr>
                <w:rFonts w:eastAsia="Calibri"/>
                <w:color w:val="000000"/>
                <w:sz w:val="19"/>
                <w:szCs w:val="19"/>
              </w:rPr>
              <w:t>Bubble</w:t>
            </w:r>
          </w:p>
        </w:tc>
      </w:tr>
      <w:tr w:rsidR="004D04DD" w14:paraId="01BFF7B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r>
              <w:rPr>
                <w:rStyle w:val="FootnoteReference"/>
              </w:rPr>
              <w:footnoteReference w:id="2"/>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t>16.08.2021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t>24.08.2021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717B14">
            <w:pPr>
              <w:keepNext/>
            </w:pPr>
            <w:r>
              <w:rPr>
                <w:rFonts w:eastAsia="Calibri"/>
                <w:color w:val="000000"/>
                <w:sz w:val="19"/>
                <w:szCs w:val="19"/>
              </w:rPr>
              <w:t>Bubble</w:t>
            </w:r>
          </w:p>
        </w:tc>
      </w:tr>
    </w:tbl>
    <w:p w14:paraId="48628248" w14:textId="495C08DD" w:rsidR="00717B14" w:rsidRDefault="00717B14">
      <w:pPr>
        <w:pStyle w:val="Caption"/>
      </w:pPr>
      <w:bookmarkStart w:id="137" w:name="_Toc229904567"/>
      <w:r>
        <w:lastRenderedPageBreak/>
        <w:t xml:space="preserve">Tabelle-Anhang </w:t>
      </w:r>
      <w:r>
        <w:fldChar w:fldCharType="begin"/>
      </w:r>
      <w:r>
        <w:instrText xml:space="preserve"> SEQ Tabelle-Anhang \* ARABIC </w:instrText>
      </w:r>
      <w:r>
        <w:fldChar w:fldCharType="separate"/>
      </w:r>
      <w:r w:rsidR="000006B1">
        <w:rPr>
          <w:noProof/>
        </w:rPr>
        <w:t>3</w:t>
      </w:r>
      <w:r>
        <w:fldChar w:fldCharType="end"/>
      </w:r>
      <w:r>
        <w:t xml:space="preserve">: </w:t>
      </w:r>
      <w:r w:rsidRPr="009F3E40">
        <w:t xml:space="preserve">Die 18 V7-Panik-Trades (vgl. pghn_trade_audit_v7.csv) auf der Partners-Group-Zeitreihe. Klassifikation: Bubble = </w:t>
      </w:r>
      <w:proofErr w:type="spellStart"/>
      <w:r w:rsidRPr="009F3E40">
        <w:t>Bwd</w:t>
      </w:r>
      <w:proofErr w:type="spellEnd"/>
      <w:r w:rsidRPr="009F3E40">
        <w:t xml:space="preserve"> &gt; +20 %, </w:t>
      </w:r>
      <w:proofErr w:type="gramStart"/>
      <w:r w:rsidRPr="009F3E40">
        <w:t>Indifferent</w:t>
      </w:r>
      <w:proofErr w:type="gramEnd"/>
      <w:r w:rsidRPr="009F3E40">
        <w:t xml:space="preserve"> = −10 % bis +20 %, Crash = </w:t>
      </w:r>
      <w:proofErr w:type="spellStart"/>
      <w:r w:rsidRPr="009F3E40">
        <w:t>Bwd</w:t>
      </w:r>
      <w:proofErr w:type="spellEnd"/>
      <w:r w:rsidRPr="009F3E40">
        <w:t xml:space="preserve"> &lt; −10 %</w:t>
      </w:r>
      <w:bookmarkEnd w:id="137"/>
    </w:p>
    <w:p w14:paraId="391946EA" w14:textId="67762331" w:rsidR="004D04DD" w:rsidRDefault="004D04DD" w:rsidP="004D04DD">
      <w:pPr>
        <w:rPr>
          <w:rFonts w:eastAsia="Calibri"/>
          <w:i/>
          <w:iCs/>
          <w:color w:val="555555"/>
          <w:sz w:val="20"/>
        </w:rPr>
      </w:pPr>
      <w:r>
        <w:rPr>
          <w:rFonts w:eastAsia="Calibri"/>
          <w:i/>
          <w:iCs/>
          <w:color w:val="555555"/>
          <w:sz w:val="20"/>
        </w:rPr>
        <w:t xml:space="preserve">Reproduzierbar aus </w:t>
      </w:r>
      <w:r>
        <w:rPr>
          <w:rFonts w:ascii="Consolas" w:hAnsi="Consolas" w:cs="Consolas"/>
          <w:i/>
          <w:iCs/>
          <w:color w:val="555555"/>
          <w:sz w:val="20"/>
        </w:rPr>
        <w:t>pghn_trade_audit_v7.csv</w:t>
      </w:r>
      <w:r>
        <w:rPr>
          <w:rFonts w:eastAsia="Calibri"/>
          <w:i/>
          <w:iCs/>
          <w:color w:val="555555"/>
          <w:sz w:val="20"/>
        </w:rPr>
        <w:t>.</w:t>
      </w:r>
    </w:p>
    <w:p w14:paraId="46ED812D" w14:textId="2081793C" w:rsidR="00717B14" w:rsidRPr="00717B14" w:rsidRDefault="00717B14" w:rsidP="004D04DD">
      <w:pPr>
        <w:rPr>
          <w:sz w:val="20"/>
          <w:szCs w:val="18"/>
        </w:rPr>
      </w:pPr>
      <w:r w:rsidRPr="00717B14">
        <w:rPr>
          <w:rStyle w:val="FootnoteReference"/>
          <w:sz w:val="20"/>
          <w:szCs w:val="18"/>
        </w:rPr>
        <w:footnoteRef/>
      </w:r>
      <w:r w:rsidRPr="00717B14">
        <w:rPr>
          <w:sz w:val="20"/>
          <w:szCs w:val="18"/>
        </w:rPr>
        <w:t xml:space="preserve"> Reproduktion mit Q_PANIC = 0.9949 (aktueller Code-Stand make_anhang_outputs.py) liefert für den ersten Aprilbarrieren-Bruch den Handelstag 08.04.2021 (Signal-Day 06.04, BSADF = 0.9967, Δ zur Schwelle +0.0018). Die hier dokumentierte Zeile entstand mit einer früheren Rundung von Q_PANIC auf 0.997, unter der das Tagessignal vom 06.04 knapp unterhalb der Schwelle lag. Alle anderen 17 Panik-Trades sind identisch.</w:t>
      </w:r>
    </w:p>
    <w:p w14:paraId="1F3C1958" w14:textId="6AB0E2F1" w:rsidR="00DC7422" w:rsidRDefault="004D04DD" w:rsidP="004D04DD">
      <w:pPr>
        <w:rPr>
          <w:rFonts w:eastAsia="Calibri"/>
        </w:rPr>
      </w:pPr>
      <w:r>
        <w:rPr>
          <w:rFonts w:eastAsia="Calibri"/>
        </w:rPr>
        <w:t>Befund: 16 von 18 Trades sind Bubble-Tag-Verkäufe (Backward &gt; +20 %), 2 sind indifferent. Die letzten vier Trades vor dem PGHN-Hoch (5. November 2021, CHF 1'655) liegen zwischen Juli und August 2021; ihre Forward-Performance über 6 Monate liegt zwischen −10.8 % und −22.9 %, womit die V7-Strategie den 2021/22-Bärenmarkt empirisch korrekt erfasst. Die Drawdown-Reduktion gegenüber Buy &amp; Hold (+8.33 pp, p = 0.040) ist auf diese vier Trades zurückzuführen.</w:t>
      </w:r>
    </w:p>
    <w:p w14:paraId="6AD2EAC4" w14:textId="40167725" w:rsidR="00DC47DC" w:rsidRDefault="00DC47DC" w:rsidP="00DC47DC">
      <w:pPr>
        <w:pStyle w:val="Ueberschrift2ohneNummer"/>
      </w:pPr>
      <w:bookmarkStart w:id="138" w:name="_Toc229904545"/>
      <w:r>
        <w:t>Anhang F – Wild-Bootstrap-CV-Tabelle</w:t>
      </w:r>
      <w:bookmarkEnd w:id="138"/>
    </w:p>
    <w:p w14:paraId="5244F593" w14:textId="77777777" w:rsidR="004D04DD" w:rsidRDefault="004D04DD" w:rsidP="004D04DD">
      <w:r>
        <w:rPr>
          <w:rFonts w:eastAsia="Calibri"/>
        </w:rPr>
        <w:t xml:space="preserve">Die kritischen Werte der </w:t>
      </w:r>
      <m:oMath>
        <m:r>
          <m:rPr>
            <m:sty m:val="p"/>
          </m:rPr>
          <w:rPr>
            <w:rFonts w:ascii="Cambria Math" w:hAnsi="Cambria Math"/>
          </w:rPr>
          <m:t>BSADF</m:t>
        </m:r>
      </m:oMath>
      <w:r>
        <w:rPr>
          <w:rFonts w:eastAsia="Calibri"/>
        </w:rPr>
        <w:t xml:space="preserve">-Statistik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wurden durch Wild-Bootstrap pre-computed (PSY 2015 §4).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8"/>
        <w:gridCol w:w="3585"/>
      </w:tblGrid>
      <w:tr w:rsidR="004D04DD" w14:paraId="61629895" w14:textId="77777777" w:rsidTr="004D04DD">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ascii="Consolas" w:hAnsi="Consolas" w:cs="Consolas"/>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Rademacher-Wild-Schock, ε ∈ {−</w:t>
            </w:r>
            <m:oMath>
              <m:r>
                <w:rPr>
                  <w:rFonts w:ascii="Cambria Math" w:hAnsi="Cambria Math"/>
                </w:rPr>
                <m:t>σ</m:t>
              </m:r>
            </m:oMath>
            <w:r>
              <w:rPr>
                <w:rFonts w:eastAsia="Calibri"/>
                <w:color w:val="000000"/>
                <w:sz w:val="19"/>
                <w:szCs w:val="19"/>
              </w:rPr>
              <w:t>, +</w:t>
            </w:r>
            <m:oMath>
              <m:r>
                <w:rPr>
                  <w:rFonts w:ascii="Cambria Math" w:hAnsi="Cambria Math"/>
                </w:rPr>
                <m:t>σ</m:t>
              </m:r>
            </m:oMath>
            <w:r>
              <w:rPr>
                <w:rFonts w:eastAsia="Calibri"/>
                <w:color w:val="000000"/>
                <w:sz w:val="19"/>
                <w:szCs w:val="19"/>
              </w:rPr>
              <w:t>}</w:t>
            </w:r>
          </w:p>
        </w:tc>
      </w:tr>
      <w:tr w:rsidR="004D04DD" w14:paraId="438810E8"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r>
              <w:rPr>
                <w:rFonts w:ascii="Consolas" w:hAnsi="Consolas" w:cs="Consolas"/>
                <w:color w:val="000000"/>
                <w:sz w:val="19"/>
                <w:szCs w:val="19"/>
              </w:rPr>
              <w:t>n_paths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000000" w:rsidP="004D04DD">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color w:val="000000"/>
                <w:sz w:val="19"/>
                <w:szCs w:val="19"/>
              </w:rPr>
              <w:t>-Simulationen (Random Walk)</w:t>
            </w:r>
          </w:p>
        </w:tc>
      </w:tr>
      <w:tr w:rsidR="004D04DD" w14:paraId="18457916"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m:oMath>
              <m:r>
                <w:rPr>
                  <w:rFonts w:ascii="Cambria Math" w:hAnsi="Cambria Math"/>
                </w:rPr>
                <m:t>σ</m:t>
              </m:r>
            </m:oMath>
            <w:r>
              <w:rPr>
                <w:rFonts w:eastAsia="Calibri"/>
                <w:color w:val="000000"/>
                <w:sz w:val="19"/>
                <w:szCs w:val="19"/>
              </w:rPr>
              <w:t xml:space="preserve">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r>
              <w:rPr>
                <w:rFonts w:ascii="Consolas" w:hAnsi="Consolas" w:cs="Consolas"/>
                <w:color w:val="000000"/>
                <w:sz w:val="19"/>
                <w:szCs w:val="19"/>
              </w:rPr>
              <w:t>min_window</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PSY-konform, identisch zur Hauptkonfig</w:t>
            </w:r>
          </w:p>
        </w:tc>
      </w:tr>
      <w:tr w:rsidR="004D04DD" w14:paraId="79C60D2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r>
              <w:rPr>
                <w:rFonts w:ascii="Consolas" w:hAnsi="Consolas" w:cs="Consolas"/>
                <w:color w:val="000000"/>
                <w:sz w:val="19"/>
                <w:szCs w:val="19"/>
              </w:rPr>
              <w:t>max_lookback</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 xml:space="preserve">Pool </w:t>
            </w:r>
            <w:r>
              <w:rPr>
                <w:rFonts w:ascii="Consolas" w:hAnsi="Consolas" w:cs="Consolas"/>
                <w:color w:val="000000"/>
                <w:sz w:val="19"/>
                <w:szCs w:val="19"/>
              </w:rPr>
              <w:t>n_pooled_obs</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r>
              <w:rPr>
                <w:rFonts w:ascii="Consolas" w:hAnsi="Consolas" w:cs="Consolas"/>
                <w:color w:val="000000"/>
                <w:sz w:val="19"/>
                <w:szCs w:val="19"/>
              </w:rPr>
              <w:t>n_paths</w:t>
            </w:r>
            <w:r>
              <w:rPr>
                <w:rFonts w:eastAsia="Calibri"/>
                <w:color w:val="000000"/>
                <w:sz w:val="19"/>
                <w:szCs w:val="19"/>
              </w:rPr>
              <w:t xml:space="preserve"> × (T − </w:t>
            </w:r>
            <w:r>
              <w:rPr>
                <w:rFonts w:ascii="Consolas" w:hAnsi="Consolas" w:cs="Consolas"/>
                <w:color w:val="000000"/>
                <w:sz w:val="19"/>
                <w:szCs w:val="19"/>
              </w:rPr>
              <w:t>min_window</w:t>
            </w:r>
            <w:r>
              <w:rPr>
                <w:rFonts w:eastAsia="Calibri"/>
                <w:color w:val="000000"/>
                <w:sz w:val="19"/>
                <w:szCs w:val="19"/>
              </w:rPr>
              <w:t>)</w:t>
            </w:r>
          </w:p>
        </w:tc>
      </w:tr>
      <w:tr w:rsidR="004D04DD" w14:paraId="6867C96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Pr>
                <w:rFonts w:eastAsia="Calibri"/>
                <w:color w:val="000000"/>
                <w:sz w:val="19"/>
                <w:szCs w:val="19"/>
              </w:rPr>
              <w:t xml:space="preserve">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color w:val="000000"/>
                <w:sz w:val="19"/>
                <w:szCs w:val="19"/>
              </w:rPr>
              <w:t xml:space="preserve">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0A5E3A">
            <w:pPr>
              <w:keepNext/>
            </w:pPr>
            <w:r>
              <w:rPr>
                <w:rFonts w:eastAsia="Calibri"/>
                <w:color w:val="000000"/>
                <w:sz w:val="19"/>
                <w:szCs w:val="19"/>
              </w:rPr>
              <w:t>vollständige Reproduzierbarkeit</w:t>
            </w:r>
          </w:p>
        </w:tc>
      </w:tr>
    </w:tbl>
    <w:p w14:paraId="200B919C" w14:textId="74536FF2" w:rsidR="000A5E3A" w:rsidRDefault="000A5E3A">
      <w:pPr>
        <w:pStyle w:val="Caption"/>
      </w:pPr>
      <w:bookmarkStart w:id="139" w:name="_Toc229904568"/>
      <w:r>
        <w:t xml:space="preserve">Tabelle-Anhang </w:t>
      </w:r>
      <w:r>
        <w:fldChar w:fldCharType="begin"/>
      </w:r>
      <w:r>
        <w:instrText xml:space="preserve"> SEQ Tabelle-Anhang \* ARABIC </w:instrText>
      </w:r>
      <w:r>
        <w:fldChar w:fldCharType="separate"/>
      </w:r>
      <w:r w:rsidR="000006B1">
        <w:rPr>
          <w:noProof/>
        </w:rPr>
        <w:t>4</w:t>
      </w:r>
      <w:r>
        <w:fldChar w:fldCharType="end"/>
      </w:r>
      <w:r>
        <w:t xml:space="preserve">: </w:t>
      </w:r>
      <w:r w:rsidRPr="00F650DE">
        <w:t>Wild-Bootstrap-Konfiguration und resultierende kritische BSADF-Schwellen</w:t>
      </w:r>
      <w:bookmarkEnd w:id="139"/>
    </w:p>
    <w:p w14:paraId="23C3FF74" w14:textId="19610799" w:rsidR="004D04DD" w:rsidRDefault="004D04DD" w:rsidP="004D04DD">
      <w:r>
        <w:rPr>
          <w:rFonts w:eastAsia="Calibri"/>
          <w:i/>
          <w:iCs/>
          <w:color w:val="555555"/>
          <w:sz w:val="20"/>
        </w:rPr>
        <w:t xml:space="preserve">Datei: </w:t>
      </w:r>
      <w:r>
        <w:rPr>
          <w:rFonts w:ascii="Consolas" w:hAnsi="Consolas" w:cs="Consolas"/>
          <w:i/>
          <w:iCs/>
          <w:color w:val="555555"/>
          <w:sz w:val="20"/>
        </w:rPr>
        <w:t>wild_bootstrap_critical_values_v7_B5000.json</w:t>
      </w:r>
      <w:r>
        <w:rPr>
          <w:rFonts w:eastAsia="Calibri"/>
          <w:i/>
          <w:iCs/>
          <w:color w:val="555555"/>
          <w:sz w:val="20"/>
        </w:rPr>
        <w:t>.</w:t>
      </w:r>
    </w:p>
    <w:p w14:paraId="3ABFDB4D" w14:textId="3D091AC0" w:rsidR="00DC7422" w:rsidRDefault="004D04DD" w:rsidP="004D04DD">
      <w:pPr>
        <w:rPr>
          <w:rFonts w:eastAsia="Calibri"/>
        </w:rPr>
      </w:pPr>
      <w:r>
        <w:rPr>
          <w:rFonts w:eastAsia="Calibri"/>
        </w:rPr>
        <w:t>Die Monte-Carlo-Standardfehler der Quantile werden gemäss SE(q) ≈ √(p(1−p)/</w:t>
      </w:r>
      <w:r>
        <w:rPr>
          <w:rFonts w:ascii="Consolas" w:hAnsi="Consolas" w:cs="Consolas"/>
        </w:rPr>
        <w:t>n_paths</w:t>
      </w:r>
      <w:r>
        <w:rPr>
          <w:rFonts w:eastAsia="Calibri"/>
        </w:rPr>
        <w:t xml:space="preserve">) approximiert. Bei </w:t>
      </w:r>
      <w:r>
        <w:rPr>
          <w:rFonts w:ascii="Consolas" w:hAnsi="Consolas" w:cs="Consolas"/>
        </w:rPr>
        <w:t>n_paths</w:t>
      </w:r>
      <w:r>
        <w:rPr>
          <w:rFonts w:eastAsia="Calibri"/>
        </w:rPr>
        <w:t xml:space="preserve"> = 5'000 liegt der MC-SE für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xml:space="preserve"> unter ±0.002 — die kritischen Werte sind damit auf drei Nachkommastellen konfirmatorisch.</w:t>
      </w:r>
    </w:p>
    <w:p w14:paraId="4B799DE9" w14:textId="67ABAB57" w:rsidR="00DC47DC" w:rsidRDefault="00DC47DC" w:rsidP="00DC47DC">
      <w:pPr>
        <w:pStyle w:val="Ueberschrift2ohneNummer"/>
      </w:pPr>
      <w:bookmarkStart w:id="140" w:name="_Toc229904546"/>
      <w:r>
        <w:t>Anhang G – Lag-Sensitivitäts-Tabelle</w:t>
      </w:r>
      <w:bookmarkEnd w:id="140"/>
    </w:p>
    <w:p w14:paraId="47271B43" w14:textId="77777777" w:rsidR="0053291D" w:rsidRDefault="0053291D" w:rsidP="0053291D">
      <w:r>
        <w:rPr>
          <w:rFonts w:eastAsia="Calibri"/>
        </w:rPr>
        <w:t>Um die Robustheit der V7-Strategie gegenüber der Lag-Konvention zu prüfen, wurde der Backtest mit drei alternativen Wahlen wiederholt: score[t−1] (aggressiv), score[t−2] (V7-Default), score[t−3] (sehr konservativ). Die Tabelle zeigt Total Return, Maximum Drawdown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369.30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−80.13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302.77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−82.30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0.368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273.46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−82.79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826.31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lastRenderedPageBreak/>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637.18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574.51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0.464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941.74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−68.18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898.37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0.496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785.27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−68.73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546.01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−78.22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0.450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416.10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−81.82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0.412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528.65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−79.81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0.445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780.44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−63.75</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0.542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598.66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0.509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527.81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−61.63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0.488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0006B1">
            <w:pPr>
              <w:keepNext/>
            </w:pPr>
            <w:r>
              <w:rPr>
                <w:rFonts w:eastAsia="Calibri"/>
                <w:color w:val="000000"/>
                <w:sz w:val="19"/>
                <w:szCs w:val="19"/>
              </w:rPr>
              <w:t>1459.37</w:t>
            </w:r>
          </w:p>
        </w:tc>
      </w:tr>
    </w:tbl>
    <w:p w14:paraId="7BCBAF5C" w14:textId="25CB666E" w:rsidR="000006B1" w:rsidRDefault="000006B1">
      <w:pPr>
        <w:pStyle w:val="Caption"/>
      </w:pPr>
      <w:bookmarkStart w:id="141" w:name="_Toc229904569"/>
      <w:r>
        <w:t xml:space="preserve">Tabelle-Anhang </w:t>
      </w:r>
      <w:r>
        <w:fldChar w:fldCharType="begin"/>
      </w:r>
      <w:r>
        <w:instrText xml:space="preserve"> SEQ Tabelle-Anhang \* ARABIC </w:instrText>
      </w:r>
      <w:r>
        <w:fldChar w:fldCharType="separate"/>
      </w:r>
      <w:r>
        <w:rPr>
          <w:noProof/>
        </w:rPr>
        <w:t>5</w:t>
      </w:r>
      <w:r>
        <w:fldChar w:fldCharType="end"/>
      </w:r>
      <w:r w:rsidRPr="00383D60">
        <w:t>: Lag-Sensitivität der V7-Strategie. Die Anzahl der Panik-Trades ist über alle Lag-Wahlen identisch — die Lag-Wahl beeinflusst nur die exakte Ausführungs-Performance, nicht die Trigger-Selektion</w:t>
      </w:r>
      <w:bookmarkEnd w:id="141"/>
    </w:p>
    <w:p w14:paraId="2A5AC759" w14:textId="63EF46F9" w:rsidR="0053291D" w:rsidRDefault="0053291D" w:rsidP="0053291D">
      <w:r>
        <w:rPr>
          <w:rFonts w:eastAsia="Calibri"/>
          <w:i/>
          <w:iCs/>
          <w:color w:val="555555"/>
          <w:sz w:val="20"/>
        </w:rPr>
        <w:t xml:space="preserve">Reproduzierbar aus </w:t>
      </w:r>
      <w:r>
        <w:rPr>
          <w:rFonts w:ascii="Consolas" w:hAnsi="Consolas" w:cs="Consolas"/>
          <w:i/>
          <w:iCs/>
          <w:color w:val="555555"/>
          <w:sz w:val="20"/>
        </w:rPr>
        <w:t>lag_sensitivity_v7.csv</w:t>
      </w:r>
      <w:r>
        <w:rPr>
          <w:rFonts w:eastAsia="Calibri"/>
          <w:i/>
          <w:iCs/>
          <w:color w:val="555555"/>
          <w:sz w:val="20"/>
        </w:rPr>
        <w:t>.</w:t>
      </w:r>
    </w:p>
    <w:p w14:paraId="48B18F14" w14:textId="3B1DE768" w:rsidR="00DC7422" w:rsidRDefault="0053291D" w:rsidP="0053291D">
      <w:pPr>
        <w:rPr>
          <w:rFonts w:eastAsia="Calibri"/>
        </w:rPr>
      </w:pPr>
      <w:r>
        <w:rPr>
          <w:rFonts w:eastAsia="Calibri"/>
        </w:rPr>
        <w:lastRenderedPageBreak/>
        <w:t>Befund: Der maximale Lag-Spread im Total Return liegt zwischen 9</w:t>
      </w:r>
      <w:r w:rsidR="001D5FCB">
        <w:rPr>
          <w:rFonts w:eastAsia="Calibri"/>
        </w:rPr>
        <w:t>6</w:t>
      </w:r>
      <w:r>
        <w:rPr>
          <w:rFonts w:eastAsia="Calibri"/>
        </w:rPr>
        <w:t xml:space="preserve"> pp (Logitech) und 2</w:t>
      </w:r>
      <w:r w:rsidR="001D5FCB">
        <w:rPr>
          <w:rFonts w:eastAsia="Calibri"/>
        </w:rPr>
        <w:t>53</w:t>
      </w:r>
      <w:r>
        <w:rPr>
          <w:rFonts w:eastAsia="Calibri"/>
        </w:rPr>
        <w:t xml:space="preserve"> pp (</w:t>
      </w:r>
      <w:r w:rsidR="001D5FCB">
        <w:rPr>
          <w:rFonts w:eastAsia="Calibri"/>
        </w:rPr>
        <w:t>Partners Group</w:t>
      </w:r>
      <w:r>
        <w:rPr>
          <w:rFonts w:eastAsia="Calibri"/>
        </w:rPr>
        <w:t>).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Pr>
          <w:rFonts w:eastAsia="Calibri"/>
        </w:rPr>
        <w:br w:type="page"/>
      </w:r>
    </w:p>
    <w:p w14:paraId="45C6973E" w14:textId="2E90D7FE" w:rsidR="00EE43F8" w:rsidRDefault="00EE43F8" w:rsidP="00DC47DC">
      <w:pPr>
        <w:pStyle w:val="Ueberschrift2ohneNummer"/>
      </w:pPr>
      <w:bookmarkStart w:id="142" w:name="_Toc229904547"/>
      <w:r>
        <w:lastRenderedPageBreak/>
        <w:t>Anhang H – Verwendete Prompts für Claude Pro</w:t>
      </w:r>
      <w:bookmarkEnd w:id="142"/>
    </w:p>
    <w:p w14:paraId="262EDD72" w14:textId="1F4C576A" w:rsidR="0053291D" w:rsidRDefault="0053291D" w:rsidP="0053291D">
      <w:r>
        <w:t>Dieser Anhang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 Zusätzlich alle von Claude vorgeschlagenen Korrekturen wurden vom Autor überprüft, bei Übernahme adaptiert und liegen in seiner inhaltlichen Verantwortung. Die Mehrheit der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«Liste alle V3-Werte auf, die im Text noch vorhanden sind, obwohl die Tabellen auf V7 umgestellt sind.»</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t>«Prüfe mein Quellenverzeichnis auf APA-7-Konformität (insbesondere Autor-Reihenfolge, DOI-Format, Kursivierung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t>«Bitte lies den folgenden Absatz aus Kapitel 4.3.1 meiner Thesis und identifiziere untypische Floskeln (Em-Dash-Einschübe, Doppelpunkt-Aufzählungen,etc). Schreibe ihn neutraler und kürzer um, ohne den fachlichen Gehalt zu verändern: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m:oMath>
        <m:r>
          <m:rPr>
            <m:sty m:val="p"/>
          </m:rPr>
          <w:rPr>
            <w:rFonts w:ascii="Cambria Math" w:hAnsi="Cambria Math"/>
          </w:rPr>
          <m:t>BSADF</m:t>
        </m:r>
      </m:oMath>
      <w:r>
        <w:t xml:space="preserve"> Implementierung prüfen:</w:t>
      </w:r>
    </w:p>
    <w:p w14:paraId="3A5DCF3B" w14:textId="29979951" w:rsidR="00DC7422" w:rsidRDefault="00DC7422" w:rsidP="00DC7422">
      <w:pPr>
        <w:pStyle w:val="ListParagraph"/>
        <w:numPr>
          <w:ilvl w:val="0"/>
          <w:numId w:val="57"/>
        </w:numPr>
      </w:pPr>
      <w:r>
        <w:t xml:space="preserve">«Ich habe in </w:t>
      </w:r>
      <w:r>
        <w:rPr>
          <w:rFonts w:ascii="Consolas" w:hAnsi="Consolas" w:cs="Consolas"/>
        </w:rPr>
        <w:t>bsadf_core.py</w:t>
      </w:r>
      <w:r>
        <w:t xml:space="preserve"> die </w:t>
      </w:r>
      <m:oMath>
        <m:r>
          <m:rPr>
            <m:sty m:val="p"/>
          </m:rPr>
          <w:rPr>
            <w:rFonts w:ascii="Cambria Math" w:hAnsi="Cambria Math"/>
          </w:rPr>
          <m:t>BSADF</m:t>
        </m:r>
      </m:oMath>
      <w:r>
        <w:t xml:space="preserve">-Statistik gemäss Phillips, Shi &amp; Yu (2015) mit vektorisiertem NumPy implementiert und mit Numba JIT-kompiliert. Bitte prüfe die Newey-West-HAC-Korrektur mit Bartlett-Gewichten auf mathematische Korrektheit. </w:t>
      </w:r>
      <w:r>
        <w:lastRenderedPageBreak/>
        <w:t xml:space="preserve">Reproduziere einen einzelnen </w:t>
      </w:r>
      <m:oMath>
        <m:r>
          <m:rPr>
            <m:sty m:val="p"/>
          </m:rPr>
          <w:rPr>
            <w:rFonts w:ascii="Cambria Math" w:hAnsi="Cambria Math"/>
          </w:rPr>
          <m:t>BSADF</m:t>
        </m:r>
      </m:oMath>
      <w:r>
        <w:t>-Wert (z. B. den am 21. November 2008 für Partners Group) unabhängig mit statsmodels.OLS(...).fit(cov_type='HAC', kernel='bartlett') und vergleiche numerisch.»</w:t>
      </w:r>
    </w:p>
    <w:p w14:paraId="13ECDEC7" w14:textId="22208D74" w:rsidR="00DC7422" w:rsidRDefault="00DC7422" w:rsidP="00DC7422">
      <w:r>
        <w:t>Look-Ahead Bias prüfen:</w:t>
      </w:r>
    </w:p>
    <w:p w14:paraId="1E2D8221" w14:textId="02D4EAB6" w:rsidR="00DC7422" w:rsidRDefault="00DC7422" w:rsidP="00DC7422">
      <w:pPr>
        <w:pStyle w:val="ListParagraph"/>
        <w:numPr>
          <w:ilvl w:val="0"/>
          <w:numId w:val="57"/>
        </w:numPr>
      </w:pPr>
      <w:r>
        <w:t xml:space="preserve">«In meiner V7-Strategie nutze ich score = </w:t>
      </w:r>
      <w:r>
        <w:rPr>
          <w:rFonts w:ascii="Consolas" w:hAnsi="Consolas" w:cs="Consolas"/>
        </w:rPr>
        <w:t>bsadf_scores[t-2]</w:t>
      </w:r>
      <w:r>
        <w:t xml:space="preserve"> zur Trade-Entscheidung an Tag t. Prüfe systematisch, ob diese Lag-Konvention frei von Look-Ahead-Bias ist und welche subtileren Probleme entstehen könnten (z. B. wenn der </w:t>
      </w:r>
      <m:oMath>
        <m:r>
          <m:rPr>
            <m:sty m:val="p"/>
          </m:rPr>
          <w:rPr>
            <w:rFonts w:ascii="Cambria Math" w:hAnsi="Cambria Math"/>
          </w:rPr>
          <m:t>BSADF</m:t>
        </m:r>
      </m:oMath>
      <w:r>
        <w:t>-Score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t xml:space="preserve">«Hier mein Backtest-Output </w:t>
      </w:r>
      <w:r>
        <w:rPr>
          <w:rFonts w:ascii="Consolas" w:hAnsi="Consolas" w:cs="Consolas"/>
        </w:rPr>
        <w:t>baseline_results_v7.csv</w:t>
      </w:r>
      <w:r>
        <w:t xml:space="preserve"> und der zugehörige Code </w:t>
      </w:r>
      <w:r>
        <w:rPr>
          <w:rFonts w:ascii="Consolas" w:hAnsi="Consolas" w:cs="Consolas"/>
        </w:rPr>
        <w:t>backtest_v7.py</w:t>
      </w:r>
      <w:r>
        <w:t>.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t>«Der Stationary-Bootstrap mit Strategie-Re-Simulation dauert auf meinem Windows-Laptop ca. 23 Minuten pro Asset. In der Ausgabe sehe ich numba.threading_layer() wirft Threading layer is not initialized.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m:oMath>
        <m:r>
          <m:rPr>
            <m:sty m:val="p"/>
          </m:rPr>
          <w:rPr>
            <w:rFonts w:ascii="Cambria Math" w:hAnsi="Cambria Math"/>
          </w:rPr>
          <m:t>BSADF</m:t>
        </m:r>
      </m:oMath>
      <w:r>
        <w:t>-Maxima Plausibilität</w:t>
      </w:r>
    </w:p>
    <w:p w14:paraId="5CB7CC2B" w14:textId="346EC8CE" w:rsidR="004F2AFF" w:rsidRPr="004F2AFF" w:rsidRDefault="004F2AFF" w:rsidP="004F2AFF">
      <w:pPr>
        <w:pStyle w:val="ListParagraph"/>
        <w:numPr>
          <w:ilvl w:val="0"/>
          <w:numId w:val="57"/>
        </w:numPr>
      </w:pPr>
      <w:r>
        <w:t xml:space="preserve">«Hier die maximalen </w:t>
      </w:r>
      <m:oMath>
        <m:r>
          <m:rPr>
            <m:sty m:val="p"/>
          </m:rPr>
          <w:rPr>
            <w:rFonts w:ascii="Cambria Math" w:hAnsi="Cambria Math"/>
          </w:rPr>
          <m:t>BSADF</m:t>
        </m:r>
      </m:oMath>
      <w:r>
        <w:t xml:space="preserve">-Werte je Titel unter </w:t>
      </w:r>
      <w:r>
        <w:rPr>
          <w:rFonts w:ascii="Consolas" w:hAnsi="Consolas" w:cs="Consolas"/>
        </w:rPr>
        <w:t>min_window</w:t>
      </w:r>
      <w:r>
        <w:t xml:space="preserve"> = 60: [Tabelle].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t>«Mein Stationary-Bootstrap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r>
        <w:t>Selection-Bias</w:t>
      </w:r>
    </w:p>
    <w:p w14:paraId="596FB090" w14:textId="1098B90E" w:rsidR="004F2AFF" w:rsidRDefault="004F2AFF" w:rsidP="004F2AFF">
      <w:pPr>
        <w:pStyle w:val="ListParagraph"/>
        <w:numPr>
          <w:ilvl w:val="0"/>
          <w:numId w:val="57"/>
        </w:numPr>
      </w:pPr>
      <w:r>
        <w:lastRenderedPageBreak/>
        <w:t>«Meine fünf Titel wurden ex-post nach historischer Volatilität und Wachstumsdynamik selegiert. Bitte erkläre, wie das die Generalisierbarkeit der Resultate einschränkt (Harvey, Liu &amp; Zhu 2016), und schlage Out-of-Sample-Tests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6D0A2E7D" w:rsidR="004F2AFF" w:rsidRPr="004F2AFF" w:rsidRDefault="004F2AFF" w:rsidP="004F2AFF">
      <w:pPr>
        <w:pStyle w:val="ListParagraph"/>
        <w:numPr>
          <w:ilvl w:val="0"/>
          <w:numId w:val="57"/>
        </w:numPr>
      </w:pPr>
      <w:r>
        <w:t>«Du bist Experte im Bereich Finance, dir wurde die Aufgabe zugeteilt die vorliegende Bachelor-Arbeit zu korrigieren. Für diesen Task hast du 1 Stunde Zeit. Das Endprodukt deinerseits sollte eine detaillierte, pingelige und streng korrigierte Bachelor-Arbeit inklusive detailliert ausgefülltem Notenblatt sein. Diskrepanzen zwischen Code und Dokumentation solltest du dir sofort notieren. Arbeite langsam und mit Sorgfalt das ist ein sehr wichtiger Task.»</w:t>
      </w:r>
    </w:p>
    <w:p w14:paraId="032439D5" w14:textId="1012705D" w:rsidR="00EE43F8" w:rsidRDefault="00EE43F8" w:rsidP="00DC47DC">
      <w:pPr>
        <w:pStyle w:val="Ueberschrift2ohneNummer"/>
      </w:pPr>
      <w:bookmarkStart w:id="143" w:name="_Toc229904548"/>
      <w:r>
        <w:t>Anhang I – Verwendete Prompts für Gemini</w:t>
      </w:r>
      <w:bookmarkEnd w:id="143"/>
    </w:p>
    <w:p w14:paraId="3B891FAB" w14:textId="60A8E078" w:rsidR="007C0B35" w:rsidRDefault="007C0B35" w:rsidP="00D760D1">
      <w:r>
        <w:t>Titelbild Prompt:</w:t>
      </w:r>
    </w:p>
    <w:p w14:paraId="36C6AEBE" w14:textId="77777777" w:rsidR="007C0B35" w:rsidRPr="00A40C7D" w:rsidRDefault="007C0B35" w:rsidP="007C0B35">
      <w:pPr>
        <w:pStyle w:val="ListParagraph"/>
        <w:numPr>
          <w:ilvl w:val="0"/>
          <w:numId w:val="60"/>
        </w:numPr>
      </w:pPr>
      <w:r>
        <w:t>A minimalist and sophisticated fine-art photographic rendering of a financial data topography. The image shows a dark background with chaotic streams of abstract financial data points. Amidst this chaos, a glowing, geometric golden structure (representing the algorithm) precisely isolates and highlights several large, expanding, iridescent spheres (speculative bubbles). A smooth, upward-trending trading line (the strategy) is shown neatly skirting the edge of these spheres just before they appear to burst. A very subtle, embossed map of Switzerland is visible in the floor texture. Professional, intellectual, high-contrast, emerald green, gold, and deep blue color palette. No clutter.</w:t>
      </w:r>
    </w:p>
    <w:p w14:paraId="3EF7462E" w14:textId="084ADADE" w:rsidR="007C0B35" w:rsidRDefault="007C0B35" w:rsidP="00D760D1">
      <w:r>
        <w:br w:type="page"/>
      </w:r>
    </w:p>
    <w:p w14:paraId="3FD95C43" w14:textId="74BB8739" w:rsidR="00FD6336" w:rsidRDefault="00FD6336" w:rsidP="00FD6336">
      <w:pPr>
        <w:pStyle w:val="Ueberschrift1ohneNummer"/>
      </w:pPr>
      <w:bookmarkStart w:id="144" w:name="_Toc229904549"/>
      <w:r>
        <w:lastRenderedPageBreak/>
        <w:t>Selbstständigkeitserklärung</w:t>
      </w:r>
      <w:bookmarkEnd w:id="144"/>
    </w:p>
    <w:p w14:paraId="5E828285" w14:textId="77777777" w:rsidR="00FD6336" w:rsidRDefault="00FD6336" w:rsidP="00FD6336">
      <w:pPr>
        <w:jc w:val="left"/>
      </w:pPr>
      <w:r>
        <w:t>Ich erkläre hiermit, dass ich:</w:t>
      </w:r>
    </w:p>
    <w:p w14:paraId="282360DF" w14:textId="77777777" w:rsidR="00FD6336" w:rsidRDefault="00FD6336" w:rsidP="002A7011">
      <w:pPr>
        <w:pStyle w:val="ListParagraph"/>
        <w:numPr>
          <w:ilvl w:val="0"/>
          <w:numId w:val="52"/>
        </w:numPr>
        <w:jc w:val="left"/>
      </w:pPr>
      <w:r>
        <w:t>den vorliegenden Text unter Angabe aller relevanten Quellen (siehe Quellenverzeichnis) und zulässigen Hilfsmittel (siehe beigelegtes Hilfsmittelverzeichnis) und ohne unzulässige Mithilfe anderer Personen verfasst habe.</w:t>
      </w:r>
    </w:p>
    <w:p w14:paraId="75C05053" w14:textId="13833B6D" w:rsidR="00FD6336" w:rsidRDefault="00FD6336" w:rsidP="00A6429E">
      <w:pPr>
        <w:pStyle w:val="ListParagraph"/>
        <w:numPr>
          <w:ilvl w:val="0"/>
          <w:numId w:val="52"/>
        </w:numPr>
        <w:jc w:val="left"/>
      </w:pPr>
      <w:r>
        <w:t>Eine wortwörtliche, paraphrasierende oder sinngemässe Übernahme von Output KI- Anwendungen habe ich gemäss der vorgegebenen Zitierregeln dokumentiert, den entsprechenden Chatverlauf im Anhang angefügt. KI-Anwendungen, die ich als Hilfsmittel verwendet habe, habe ich im Anhang in einem Hilfsmittelverzeichnis dokumentiert.</w:t>
      </w:r>
    </w:p>
    <w:p w14:paraId="011C5974" w14:textId="77777777" w:rsidR="00FD6336" w:rsidRDefault="00FD6336" w:rsidP="00FD6336">
      <w:pPr>
        <w:jc w:val="left"/>
      </w:pPr>
    </w:p>
    <w:p w14:paraId="170F829B" w14:textId="77D074A6" w:rsidR="00FD6336" w:rsidRDefault="00FD6336" w:rsidP="0053291D">
      <w:r>
        <w:t>Ort/Datum: Oberwil-Lieli / 1</w:t>
      </w:r>
      <w:r w:rsidR="00A860AF">
        <w:t>7</w:t>
      </w:r>
      <w:r>
        <w:t>.05.2026</w:t>
      </w:r>
      <w:r>
        <w:tab/>
      </w:r>
      <w:r>
        <w:tab/>
        <w:t>Name: Livio Ambrogini</w:t>
      </w:r>
    </w:p>
    <w:p w14:paraId="612D29FF" w14:textId="5C5A29D5" w:rsidR="0053291D" w:rsidRDefault="0008436C" w:rsidP="0053291D">
      <w:r>
        <w:rPr>
          <w:noProof/>
        </w:rPr>
        <w:drawing>
          <wp:anchor distT="0" distB="0" distL="114300" distR="114300" simplePos="0" relativeHeight="251662336" behindDoc="1" locked="0" layoutInCell="1" allowOverlap="1" wp14:anchorId="2AA5263C" wp14:editId="0EAC9421">
            <wp:simplePos x="0" y="0"/>
            <wp:positionH relativeFrom="margin">
              <wp:posOffset>4305300</wp:posOffset>
            </wp:positionH>
            <wp:positionV relativeFrom="paragraph">
              <wp:posOffset>9525</wp:posOffset>
            </wp:positionV>
            <wp:extent cx="1781175" cy="600710"/>
            <wp:effectExtent l="0" t="0" r="9525" b="8890"/>
            <wp:wrapTight wrapText="bothSides">
              <wp:wrapPolygon edited="0">
                <wp:start x="0" y="0"/>
                <wp:lineTo x="0" y="21235"/>
                <wp:lineTo x="21484" y="21235"/>
                <wp:lineTo x="21484" y="0"/>
                <wp:lineTo x="0" y="0"/>
              </wp:wrapPolygon>
            </wp:wrapTight>
            <wp:docPr id="1731611418" name="Picture 1" descr="A close-up of a sign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p>
    <w:p w14:paraId="36C90D43" w14:textId="7B573A07" w:rsidR="0008436C" w:rsidRDefault="0008436C" w:rsidP="0053291D"/>
    <w:p w14:paraId="5FAD5915" w14:textId="77777777" w:rsidR="0008436C" w:rsidRDefault="0008436C" w:rsidP="0053291D"/>
    <w:p w14:paraId="401FAE57" w14:textId="77777777" w:rsidR="0008436C" w:rsidRPr="0053291D" w:rsidRDefault="0008436C" w:rsidP="0053291D"/>
    <w:p w14:paraId="5B486CF1" w14:textId="1FA84FF1" w:rsidR="002879EF" w:rsidRPr="0001704E" w:rsidRDefault="001C37DC" w:rsidP="001C37DC">
      <w:pPr>
        <w:pStyle w:val="Ueberschrift1ohneNummer"/>
      </w:pPr>
      <w:bookmarkStart w:id="145" w:name="_Toc229904550"/>
      <w:r>
        <w:t>Vertraulichkeitserklärung</w:t>
      </w:r>
      <w:bookmarkEnd w:id="145"/>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5BA7785A" w:rsidR="00FD6336" w:rsidRDefault="0008436C" w:rsidP="00FD6336">
      <w:r>
        <w:rPr>
          <w:noProof/>
        </w:rPr>
        <w:drawing>
          <wp:anchor distT="0" distB="0" distL="114300" distR="114300" simplePos="0" relativeHeight="251660288" behindDoc="1" locked="0" layoutInCell="1" allowOverlap="1" wp14:anchorId="27BA8943" wp14:editId="0FB677D3">
            <wp:simplePos x="0" y="0"/>
            <wp:positionH relativeFrom="margin">
              <wp:posOffset>4210050</wp:posOffset>
            </wp:positionH>
            <wp:positionV relativeFrom="paragraph">
              <wp:posOffset>231140</wp:posOffset>
            </wp:positionV>
            <wp:extent cx="1781175" cy="600710"/>
            <wp:effectExtent l="0" t="0" r="9525" b="8890"/>
            <wp:wrapTight wrapText="bothSides">
              <wp:wrapPolygon edited="0">
                <wp:start x="0" y="0"/>
                <wp:lineTo x="0" y="21235"/>
                <wp:lineTo x="21484" y="21235"/>
                <wp:lineTo x="21484" y="0"/>
                <wp:lineTo x="0" y="0"/>
              </wp:wrapPolygon>
            </wp:wrapTight>
            <wp:docPr id="151860054" name="Picture 1" descr="A close-up of a sign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  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r>
        <w:t>Ort/Datum: Oberwil-Lieli / 1</w:t>
      </w:r>
      <w:r w:rsidR="00A860AF">
        <w:t>7</w:t>
      </w:r>
      <w:r>
        <w:t>.05.2026</w:t>
      </w:r>
      <w:r>
        <w:tab/>
      </w:r>
      <w:r>
        <w:tab/>
        <w:t>Name: Livio Ambrogini</w:t>
      </w:r>
    </w:p>
    <w:p w14:paraId="066CB68C" w14:textId="750509EF" w:rsidR="002879EF" w:rsidRDefault="002879EF" w:rsidP="00FD6336"/>
    <w:sectPr w:rsidR="002879EF" w:rsidSect="005E75FF">
      <w:headerReference w:type="default" r:id="rId38"/>
      <w:footerReference w:type="default" r:id="rId39"/>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6"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1"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8"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9"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4"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5"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7"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2"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3"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4"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7"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59"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28"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A741A" w14:textId="77777777" w:rsidR="00826D15" w:rsidRPr="0001704E" w:rsidRDefault="00826D15">
      <w:r w:rsidRPr="0001704E">
        <w:separator/>
      </w:r>
    </w:p>
  </w:endnote>
  <w:endnote w:type="continuationSeparator" w:id="0">
    <w:p w14:paraId="04C35962" w14:textId="77777777" w:rsidR="00826D15" w:rsidRPr="0001704E" w:rsidRDefault="00826D15">
      <w:r w:rsidRPr="0001704E">
        <w:continuationSeparator/>
      </w:r>
    </w:p>
  </w:endnote>
  <w:endnote w:type="continuationNotice" w:id="1">
    <w:p w14:paraId="5F46C5E8" w14:textId="77777777" w:rsidR="00826D15" w:rsidRPr="0001704E" w:rsidRDefault="00826D1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r>
      <w:fldChar w:fldCharType="begin"/>
    </w:r>
    <w:r>
      <w:instrText xml:space="preserve"> TITLE   \* MERGEFORMAT </w:instrText>
    </w:r>
    <w:r>
      <w:fldChar w:fldCharType="separate"/>
    </w:r>
    <w:r w:rsidRPr="003D460D">
      <w:rPr>
        <w:sz w:val="20"/>
      </w:rPr>
      <w:t>«</w:t>
    </w:r>
    <w:proofErr w:type="spellStart"/>
    <w:r w:rsidRPr="003D460D">
      <w:rPr>
        <w:sz w:val="20"/>
      </w:rPr>
      <w:t>Riding</w:t>
    </w:r>
    <w:proofErr w:type="spellEnd"/>
    <w:r w:rsidRPr="003D460D">
      <w:rPr>
        <w:sz w:val="20"/>
      </w:rPr>
      <w:t xml:space="preserve"> Bubbles» im Schweizer Markt</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4A468" w14:textId="77777777" w:rsidR="00826D15" w:rsidRPr="0001704E" w:rsidRDefault="00826D15">
      <w:r w:rsidRPr="0001704E">
        <w:separator/>
      </w:r>
    </w:p>
  </w:footnote>
  <w:footnote w:type="continuationSeparator" w:id="0">
    <w:p w14:paraId="297E7D1A" w14:textId="77777777" w:rsidR="00826D15" w:rsidRPr="0001704E" w:rsidRDefault="00826D15">
      <w:r w:rsidRPr="0001704E">
        <w:continuationSeparator/>
      </w:r>
    </w:p>
  </w:footnote>
  <w:footnote w:type="continuationNotice" w:id="1">
    <w:p w14:paraId="2218589F" w14:textId="77777777" w:rsidR="00826D15" w:rsidRPr="0001704E" w:rsidRDefault="00826D15">
      <w:pPr>
        <w:spacing w:before="0" w:after="0" w:line="240" w:lineRule="auto"/>
      </w:pPr>
    </w:p>
  </w:footnote>
  <w:footnote w:id="2">
    <w:p w14:paraId="3A2686CC" w14:textId="7AE6A82E" w:rsidR="004F368F" w:rsidRDefault="004F368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7E04B88C" w:rsidR="00B94B58" w:rsidRPr="0001704E" w:rsidRDefault="00CC4AB7" w:rsidP="00A43DBC">
    <w:pPr>
      <w:pStyle w:val="Header"/>
    </w:pPr>
    <w:fldSimple w:instr="STYLEREF  &quot;Ueberschrift 1 ohne Nummer&quot;  \* MERGEFORMAT">
      <w:r w:rsidR="00722482">
        <w:rPr>
          <w:noProof/>
        </w:rPr>
        <w:t>Tabellen-Anhang-Verzeichnis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6ABEDA07" w:rsidR="00B94B58" w:rsidRPr="0001704E" w:rsidRDefault="00B94B58" w:rsidP="00A43DBC">
    <w:pPr>
      <w:pStyle w:val="Header"/>
    </w:pPr>
    <w:r w:rsidRPr="0001704E">
      <w:t xml:space="preserve">Kapitel </w:t>
    </w:r>
    <w:fldSimple w:instr="STYLEREF  &quot;Heading 1&quot; \n  \* MERGEFORMAT">
      <w:r w:rsidR="00722482">
        <w:rPr>
          <w:noProof/>
        </w:rPr>
        <w:t>4</w:t>
      </w:r>
    </w:fldSimple>
    <w:r w:rsidRPr="00B46F9D">
      <w:rPr>
        <w:lang w:val="en-US"/>
      </w:rPr>
      <w:t xml:space="preserve">: </w:t>
    </w:r>
    <w:fldSimple w:instr="STYLEREF  &quot;Heading 1&quot;  \* MERGEFORMAT">
      <w:r w:rsidR="00722482">
        <w:rPr>
          <w:noProof/>
        </w:rPr>
        <w:t>Empirische Analyse und Resultate</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27BBE8F9" w:rsidR="00B94B58" w:rsidRPr="0001704E" w:rsidRDefault="00CB3F4D" w:rsidP="00A43DBC">
    <w:pPr>
      <w:pStyle w:val="Header"/>
    </w:pPr>
    <w:fldSimple w:instr="STYLEREF  &quot;Ueberschrift 1 ohne Nummer&quot;  \* MERGEFORMAT">
      <w:r w:rsidR="00722482">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576BB"/>
    <w:multiLevelType w:val="hybridMultilevel"/>
    <w:tmpl w:val="869A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4"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2"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5"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0"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371262"/>
    <w:multiLevelType w:val="hybridMultilevel"/>
    <w:tmpl w:val="1C403A9A"/>
    <w:lvl w:ilvl="0" w:tplc="8780CCA2">
      <w:start w:val="1"/>
      <w:numFmt w:val="bullet"/>
      <w:lvlText w:val="-"/>
      <w:lvlJc w:val="left"/>
      <w:pPr>
        <w:ind w:left="720" w:hanging="360"/>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7"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0"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7"/>
  </w:num>
  <w:num w:numId="2" w16cid:durableId="734400640">
    <w:abstractNumId w:val="34"/>
  </w:num>
  <w:num w:numId="3" w16cid:durableId="880480788">
    <w:abstractNumId w:val="16"/>
  </w:num>
  <w:num w:numId="4" w16cid:durableId="1290159653">
    <w:abstractNumId w:val="16"/>
  </w:num>
  <w:num w:numId="5" w16cid:durableId="1772892392">
    <w:abstractNumId w:val="16"/>
  </w:num>
  <w:num w:numId="6" w16cid:durableId="239797710">
    <w:abstractNumId w:val="22"/>
  </w:num>
  <w:num w:numId="7" w16cid:durableId="1564947240">
    <w:abstractNumId w:val="27"/>
  </w:num>
  <w:num w:numId="8" w16cid:durableId="1430811391">
    <w:abstractNumId w:val="18"/>
  </w:num>
  <w:num w:numId="9" w16cid:durableId="360473601">
    <w:abstractNumId w:val="41"/>
  </w:num>
  <w:num w:numId="10" w16cid:durableId="1858696726">
    <w:abstractNumId w:val="49"/>
  </w:num>
  <w:num w:numId="11" w16cid:durableId="566766946">
    <w:abstractNumId w:val="21"/>
  </w:num>
  <w:num w:numId="12" w16cid:durableId="180903123">
    <w:abstractNumId w:val="56"/>
  </w:num>
  <w:num w:numId="13" w16cid:durableId="1141385100">
    <w:abstractNumId w:val="10"/>
  </w:num>
  <w:num w:numId="14" w16cid:durableId="1540699329">
    <w:abstractNumId w:val="39"/>
  </w:num>
  <w:num w:numId="15" w16cid:durableId="736169386">
    <w:abstractNumId w:val="47"/>
  </w:num>
  <w:num w:numId="16" w16cid:durableId="321931089">
    <w:abstractNumId w:val="26"/>
  </w:num>
  <w:num w:numId="17" w16cid:durableId="842403768">
    <w:abstractNumId w:val="6"/>
  </w:num>
  <w:num w:numId="18" w16cid:durableId="77139912">
    <w:abstractNumId w:val="55"/>
  </w:num>
  <w:num w:numId="19" w16cid:durableId="537664328">
    <w:abstractNumId w:val="42"/>
  </w:num>
  <w:num w:numId="20" w16cid:durableId="156846111">
    <w:abstractNumId w:val="52"/>
  </w:num>
  <w:num w:numId="21" w16cid:durableId="1094595920">
    <w:abstractNumId w:val="40"/>
  </w:num>
  <w:num w:numId="22" w16cid:durableId="97680989">
    <w:abstractNumId w:val="46"/>
  </w:num>
  <w:num w:numId="23" w16cid:durableId="1155493217">
    <w:abstractNumId w:val="19"/>
  </w:num>
  <w:num w:numId="24" w16cid:durableId="1626735476">
    <w:abstractNumId w:val="0"/>
  </w:num>
  <w:num w:numId="25" w16cid:durableId="403994390">
    <w:abstractNumId w:val="51"/>
  </w:num>
  <w:num w:numId="26" w16cid:durableId="611744889">
    <w:abstractNumId w:val="14"/>
  </w:num>
  <w:num w:numId="27" w16cid:durableId="1216165657">
    <w:abstractNumId w:val="3"/>
  </w:num>
  <w:num w:numId="28" w16cid:durableId="1383673568">
    <w:abstractNumId w:val="5"/>
  </w:num>
  <w:num w:numId="29" w16cid:durableId="1157842260">
    <w:abstractNumId w:val="54"/>
  </w:num>
  <w:num w:numId="30" w16cid:durableId="9837816">
    <w:abstractNumId w:val="7"/>
  </w:num>
  <w:num w:numId="31" w16cid:durableId="987049979">
    <w:abstractNumId w:val="35"/>
  </w:num>
  <w:num w:numId="32" w16cid:durableId="1068115097">
    <w:abstractNumId w:val="30"/>
  </w:num>
  <w:num w:numId="33" w16cid:durableId="421340788">
    <w:abstractNumId w:val="17"/>
  </w:num>
  <w:num w:numId="34" w16cid:durableId="165218138">
    <w:abstractNumId w:val="28"/>
  </w:num>
  <w:num w:numId="35" w16cid:durableId="1201012977">
    <w:abstractNumId w:val="25"/>
  </w:num>
  <w:num w:numId="36" w16cid:durableId="435297820">
    <w:abstractNumId w:val="11"/>
  </w:num>
  <w:num w:numId="37" w16cid:durableId="2026397097">
    <w:abstractNumId w:val="33"/>
  </w:num>
  <w:num w:numId="38" w16cid:durableId="2147239958">
    <w:abstractNumId w:val="48"/>
  </w:num>
  <w:num w:numId="39" w16cid:durableId="1212618013">
    <w:abstractNumId w:val="37"/>
  </w:num>
  <w:num w:numId="40" w16cid:durableId="804393866">
    <w:abstractNumId w:val="36"/>
  </w:num>
  <w:num w:numId="41" w16cid:durableId="1027560920">
    <w:abstractNumId w:val="2"/>
  </w:num>
  <w:num w:numId="42" w16cid:durableId="545025567">
    <w:abstractNumId w:val="50"/>
  </w:num>
  <w:num w:numId="43" w16cid:durableId="135487676">
    <w:abstractNumId w:val="44"/>
  </w:num>
  <w:num w:numId="44" w16cid:durableId="464855784">
    <w:abstractNumId w:val="45"/>
  </w:num>
  <w:num w:numId="45" w16cid:durableId="1608924495">
    <w:abstractNumId w:val="29"/>
  </w:num>
  <w:num w:numId="46" w16cid:durableId="472412220">
    <w:abstractNumId w:val="13"/>
  </w:num>
  <w:num w:numId="47" w16cid:durableId="2051876841">
    <w:abstractNumId w:val="38"/>
  </w:num>
  <w:num w:numId="48" w16cid:durableId="192421215">
    <w:abstractNumId w:val="9"/>
  </w:num>
  <w:num w:numId="49" w16cid:durableId="1012414144">
    <w:abstractNumId w:val="20"/>
  </w:num>
  <w:num w:numId="50" w16cid:durableId="46803233">
    <w:abstractNumId w:val="15"/>
  </w:num>
  <w:num w:numId="51" w16cid:durableId="1363090004">
    <w:abstractNumId w:val="31"/>
  </w:num>
  <w:num w:numId="52" w16cid:durableId="389353738">
    <w:abstractNumId w:val="43"/>
  </w:num>
  <w:num w:numId="53" w16cid:durableId="1138912570">
    <w:abstractNumId w:val="24"/>
    <w:lvlOverride w:ilvl="0">
      <w:startOverride w:val="1"/>
    </w:lvlOverride>
  </w:num>
  <w:num w:numId="54" w16cid:durableId="1527451082">
    <w:abstractNumId w:val="23"/>
  </w:num>
  <w:num w:numId="55" w16cid:durableId="448085786">
    <w:abstractNumId w:val="1"/>
  </w:num>
  <w:num w:numId="56" w16cid:durableId="682130392">
    <w:abstractNumId w:val="53"/>
  </w:num>
  <w:num w:numId="57" w16cid:durableId="820391168">
    <w:abstractNumId w:val="8"/>
  </w:num>
  <w:num w:numId="58" w16cid:durableId="177668542">
    <w:abstractNumId w:val="12"/>
  </w:num>
  <w:num w:numId="59" w16cid:durableId="818111414">
    <w:abstractNumId w:val="4"/>
  </w:num>
  <w:num w:numId="60" w16cid:durableId="1733045374">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06B1"/>
    <w:rsid w:val="0000461C"/>
    <w:rsid w:val="000076B4"/>
    <w:rsid w:val="000147AE"/>
    <w:rsid w:val="00014A59"/>
    <w:rsid w:val="00014B56"/>
    <w:rsid w:val="0001597B"/>
    <w:rsid w:val="00015D14"/>
    <w:rsid w:val="0001704E"/>
    <w:rsid w:val="00020DF9"/>
    <w:rsid w:val="000218FC"/>
    <w:rsid w:val="00035048"/>
    <w:rsid w:val="0003612E"/>
    <w:rsid w:val="00037FD3"/>
    <w:rsid w:val="00041C05"/>
    <w:rsid w:val="00046A01"/>
    <w:rsid w:val="00054B64"/>
    <w:rsid w:val="00054D30"/>
    <w:rsid w:val="000564AB"/>
    <w:rsid w:val="00056825"/>
    <w:rsid w:val="00057E22"/>
    <w:rsid w:val="00063D54"/>
    <w:rsid w:val="000659A3"/>
    <w:rsid w:val="00065B07"/>
    <w:rsid w:val="00073C9B"/>
    <w:rsid w:val="00076262"/>
    <w:rsid w:val="000809F1"/>
    <w:rsid w:val="000824DA"/>
    <w:rsid w:val="00083646"/>
    <w:rsid w:val="0008436C"/>
    <w:rsid w:val="000903CE"/>
    <w:rsid w:val="00090D0A"/>
    <w:rsid w:val="00091403"/>
    <w:rsid w:val="00094426"/>
    <w:rsid w:val="00096949"/>
    <w:rsid w:val="000A273C"/>
    <w:rsid w:val="000A5E3A"/>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D7DBD"/>
    <w:rsid w:val="000E1D02"/>
    <w:rsid w:val="000E1EE3"/>
    <w:rsid w:val="000E24A6"/>
    <w:rsid w:val="000E37ED"/>
    <w:rsid w:val="000E3931"/>
    <w:rsid w:val="000E5376"/>
    <w:rsid w:val="000E60CA"/>
    <w:rsid w:val="000F11D7"/>
    <w:rsid w:val="000F5107"/>
    <w:rsid w:val="0010158F"/>
    <w:rsid w:val="0010188A"/>
    <w:rsid w:val="00105B05"/>
    <w:rsid w:val="001172DE"/>
    <w:rsid w:val="00122DD5"/>
    <w:rsid w:val="00124096"/>
    <w:rsid w:val="0012588E"/>
    <w:rsid w:val="001320AF"/>
    <w:rsid w:val="0013256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0B3D"/>
    <w:rsid w:val="001D1DA2"/>
    <w:rsid w:val="001D41FC"/>
    <w:rsid w:val="001D49AE"/>
    <w:rsid w:val="001D5CB5"/>
    <w:rsid w:val="001D5F71"/>
    <w:rsid w:val="001D5FCB"/>
    <w:rsid w:val="001E621D"/>
    <w:rsid w:val="001E723B"/>
    <w:rsid w:val="001F2A05"/>
    <w:rsid w:val="001F325E"/>
    <w:rsid w:val="001F3576"/>
    <w:rsid w:val="001F5478"/>
    <w:rsid w:val="001F7A2F"/>
    <w:rsid w:val="00200F9A"/>
    <w:rsid w:val="00201225"/>
    <w:rsid w:val="0020168A"/>
    <w:rsid w:val="00205F55"/>
    <w:rsid w:val="0020745D"/>
    <w:rsid w:val="002076F9"/>
    <w:rsid w:val="00211400"/>
    <w:rsid w:val="00213A5F"/>
    <w:rsid w:val="00220799"/>
    <w:rsid w:val="00227990"/>
    <w:rsid w:val="002303AC"/>
    <w:rsid w:val="0023143D"/>
    <w:rsid w:val="00232021"/>
    <w:rsid w:val="00232104"/>
    <w:rsid w:val="00232EAD"/>
    <w:rsid w:val="00233F6B"/>
    <w:rsid w:val="00236F98"/>
    <w:rsid w:val="0023752C"/>
    <w:rsid w:val="00243C80"/>
    <w:rsid w:val="002501FB"/>
    <w:rsid w:val="00251309"/>
    <w:rsid w:val="002535CC"/>
    <w:rsid w:val="00253909"/>
    <w:rsid w:val="00254415"/>
    <w:rsid w:val="0025683C"/>
    <w:rsid w:val="0025690F"/>
    <w:rsid w:val="00263B94"/>
    <w:rsid w:val="0026538B"/>
    <w:rsid w:val="00266A38"/>
    <w:rsid w:val="002707D6"/>
    <w:rsid w:val="00273310"/>
    <w:rsid w:val="00273C7C"/>
    <w:rsid w:val="0027568A"/>
    <w:rsid w:val="00277281"/>
    <w:rsid w:val="002807D2"/>
    <w:rsid w:val="00281407"/>
    <w:rsid w:val="00282955"/>
    <w:rsid w:val="00284FC8"/>
    <w:rsid w:val="00286580"/>
    <w:rsid w:val="00287159"/>
    <w:rsid w:val="002879EF"/>
    <w:rsid w:val="00291975"/>
    <w:rsid w:val="002A10B1"/>
    <w:rsid w:val="002A68AE"/>
    <w:rsid w:val="002B0750"/>
    <w:rsid w:val="002B0EB4"/>
    <w:rsid w:val="002B2D99"/>
    <w:rsid w:val="002B4D6E"/>
    <w:rsid w:val="002B5201"/>
    <w:rsid w:val="002B7374"/>
    <w:rsid w:val="002C0202"/>
    <w:rsid w:val="002C1D93"/>
    <w:rsid w:val="002C25A3"/>
    <w:rsid w:val="002C2E89"/>
    <w:rsid w:val="002C316C"/>
    <w:rsid w:val="002D2F8F"/>
    <w:rsid w:val="002D4D9A"/>
    <w:rsid w:val="002D6F07"/>
    <w:rsid w:val="002E0316"/>
    <w:rsid w:val="002E0F9D"/>
    <w:rsid w:val="002E46A9"/>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10BEA"/>
    <w:rsid w:val="003202A6"/>
    <w:rsid w:val="00320345"/>
    <w:rsid w:val="00324BA6"/>
    <w:rsid w:val="0032508F"/>
    <w:rsid w:val="00332CF7"/>
    <w:rsid w:val="0033663A"/>
    <w:rsid w:val="0035192C"/>
    <w:rsid w:val="003549C1"/>
    <w:rsid w:val="00360499"/>
    <w:rsid w:val="00362992"/>
    <w:rsid w:val="00366901"/>
    <w:rsid w:val="00367819"/>
    <w:rsid w:val="003747C5"/>
    <w:rsid w:val="003814F3"/>
    <w:rsid w:val="00381E18"/>
    <w:rsid w:val="0038248F"/>
    <w:rsid w:val="0039446F"/>
    <w:rsid w:val="00396005"/>
    <w:rsid w:val="0039616A"/>
    <w:rsid w:val="0039698D"/>
    <w:rsid w:val="003A2264"/>
    <w:rsid w:val="003A311A"/>
    <w:rsid w:val="003A55F9"/>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0D62"/>
    <w:rsid w:val="004827D9"/>
    <w:rsid w:val="004860CA"/>
    <w:rsid w:val="00493066"/>
    <w:rsid w:val="004949B0"/>
    <w:rsid w:val="00496905"/>
    <w:rsid w:val="004A02FC"/>
    <w:rsid w:val="004A1440"/>
    <w:rsid w:val="004A31A5"/>
    <w:rsid w:val="004A3BA2"/>
    <w:rsid w:val="004A51A0"/>
    <w:rsid w:val="004A760E"/>
    <w:rsid w:val="004B1482"/>
    <w:rsid w:val="004B299E"/>
    <w:rsid w:val="004B465D"/>
    <w:rsid w:val="004B5097"/>
    <w:rsid w:val="004B7AB7"/>
    <w:rsid w:val="004C4AD2"/>
    <w:rsid w:val="004C5721"/>
    <w:rsid w:val="004C62E4"/>
    <w:rsid w:val="004D04DD"/>
    <w:rsid w:val="004D095C"/>
    <w:rsid w:val="004D25F2"/>
    <w:rsid w:val="004F2AFF"/>
    <w:rsid w:val="004F368F"/>
    <w:rsid w:val="004F3F60"/>
    <w:rsid w:val="004F5A0B"/>
    <w:rsid w:val="00503942"/>
    <w:rsid w:val="00504616"/>
    <w:rsid w:val="00504AB9"/>
    <w:rsid w:val="00507851"/>
    <w:rsid w:val="005105FF"/>
    <w:rsid w:val="005129B7"/>
    <w:rsid w:val="00517C6D"/>
    <w:rsid w:val="00524AFF"/>
    <w:rsid w:val="005268C9"/>
    <w:rsid w:val="005305CF"/>
    <w:rsid w:val="00531BF2"/>
    <w:rsid w:val="0053291D"/>
    <w:rsid w:val="00532F48"/>
    <w:rsid w:val="00534A8C"/>
    <w:rsid w:val="00535720"/>
    <w:rsid w:val="0054006B"/>
    <w:rsid w:val="005436D1"/>
    <w:rsid w:val="00546747"/>
    <w:rsid w:val="00547669"/>
    <w:rsid w:val="00551A2D"/>
    <w:rsid w:val="00551F97"/>
    <w:rsid w:val="005536E9"/>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858A7"/>
    <w:rsid w:val="005907FE"/>
    <w:rsid w:val="00592AEB"/>
    <w:rsid w:val="0059644B"/>
    <w:rsid w:val="005A0FF6"/>
    <w:rsid w:val="005A3063"/>
    <w:rsid w:val="005A3C25"/>
    <w:rsid w:val="005A6687"/>
    <w:rsid w:val="005B48D7"/>
    <w:rsid w:val="005B4ADA"/>
    <w:rsid w:val="005B551B"/>
    <w:rsid w:val="005B593D"/>
    <w:rsid w:val="005B74BF"/>
    <w:rsid w:val="005C1C06"/>
    <w:rsid w:val="005C1DA6"/>
    <w:rsid w:val="005C2766"/>
    <w:rsid w:val="005C35E2"/>
    <w:rsid w:val="005C4CC9"/>
    <w:rsid w:val="005D11C0"/>
    <w:rsid w:val="005D2D5B"/>
    <w:rsid w:val="005D3F0D"/>
    <w:rsid w:val="005E02A3"/>
    <w:rsid w:val="005E3173"/>
    <w:rsid w:val="005E3EDD"/>
    <w:rsid w:val="005E4B30"/>
    <w:rsid w:val="005E530C"/>
    <w:rsid w:val="005E67F3"/>
    <w:rsid w:val="005E75FF"/>
    <w:rsid w:val="005F1D52"/>
    <w:rsid w:val="005F328B"/>
    <w:rsid w:val="005F3A1B"/>
    <w:rsid w:val="005F521A"/>
    <w:rsid w:val="005F5805"/>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55C"/>
    <w:rsid w:val="00676F59"/>
    <w:rsid w:val="00677380"/>
    <w:rsid w:val="0068104F"/>
    <w:rsid w:val="00681054"/>
    <w:rsid w:val="006818EB"/>
    <w:rsid w:val="00687804"/>
    <w:rsid w:val="006905A7"/>
    <w:rsid w:val="00691CB6"/>
    <w:rsid w:val="00692900"/>
    <w:rsid w:val="00695F25"/>
    <w:rsid w:val="00696E7C"/>
    <w:rsid w:val="006A04E6"/>
    <w:rsid w:val="006A75BC"/>
    <w:rsid w:val="006B56BF"/>
    <w:rsid w:val="006B63A6"/>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0E51"/>
    <w:rsid w:val="0071153C"/>
    <w:rsid w:val="00712D80"/>
    <w:rsid w:val="00713383"/>
    <w:rsid w:val="007145DF"/>
    <w:rsid w:val="00716C46"/>
    <w:rsid w:val="00717B14"/>
    <w:rsid w:val="00720489"/>
    <w:rsid w:val="00722482"/>
    <w:rsid w:val="00727B25"/>
    <w:rsid w:val="00732EC0"/>
    <w:rsid w:val="00735683"/>
    <w:rsid w:val="00736433"/>
    <w:rsid w:val="007444FD"/>
    <w:rsid w:val="0074466F"/>
    <w:rsid w:val="00744E1C"/>
    <w:rsid w:val="00752DE8"/>
    <w:rsid w:val="00756161"/>
    <w:rsid w:val="00761C3F"/>
    <w:rsid w:val="00764777"/>
    <w:rsid w:val="00764D2E"/>
    <w:rsid w:val="00770515"/>
    <w:rsid w:val="00775AA8"/>
    <w:rsid w:val="00776478"/>
    <w:rsid w:val="00777A2E"/>
    <w:rsid w:val="0078225E"/>
    <w:rsid w:val="00783000"/>
    <w:rsid w:val="00783F63"/>
    <w:rsid w:val="007925C3"/>
    <w:rsid w:val="0079606A"/>
    <w:rsid w:val="00796108"/>
    <w:rsid w:val="00797E46"/>
    <w:rsid w:val="007A16D7"/>
    <w:rsid w:val="007A2B7E"/>
    <w:rsid w:val="007A7EB1"/>
    <w:rsid w:val="007A7F22"/>
    <w:rsid w:val="007B42E6"/>
    <w:rsid w:val="007B7449"/>
    <w:rsid w:val="007C0B35"/>
    <w:rsid w:val="007C23C1"/>
    <w:rsid w:val="007C377D"/>
    <w:rsid w:val="007C7D1F"/>
    <w:rsid w:val="007D1D48"/>
    <w:rsid w:val="007D3AC1"/>
    <w:rsid w:val="007D4AFA"/>
    <w:rsid w:val="007D76DF"/>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3784"/>
    <w:rsid w:val="00826D15"/>
    <w:rsid w:val="008279E3"/>
    <w:rsid w:val="00831349"/>
    <w:rsid w:val="008428BD"/>
    <w:rsid w:val="00846FD5"/>
    <w:rsid w:val="00850C7A"/>
    <w:rsid w:val="00857836"/>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1CB5"/>
    <w:rsid w:val="008A2A81"/>
    <w:rsid w:val="008A49F3"/>
    <w:rsid w:val="008A4F76"/>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386F"/>
    <w:rsid w:val="008E51A0"/>
    <w:rsid w:val="008E768E"/>
    <w:rsid w:val="008F1990"/>
    <w:rsid w:val="008F216C"/>
    <w:rsid w:val="008F3BBF"/>
    <w:rsid w:val="008F5C1A"/>
    <w:rsid w:val="008F62DF"/>
    <w:rsid w:val="008F64AB"/>
    <w:rsid w:val="00903943"/>
    <w:rsid w:val="0090550B"/>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56105"/>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2F70"/>
    <w:rsid w:val="009B39B1"/>
    <w:rsid w:val="009B4C87"/>
    <w:rsid w:val="009B548A"/>
    <w:rsid w:val="009B5897"/>
    <w:rsid w:val="009B5C04"/>
    <w:rsid w:val="009B638D"/>
    <w:rsid w:val="009B7FE1"/>
    <w:rsid w:val="009C1286"/>
    <w:rsid w:val="009C17DC"/>
    <w:rsid w:val="009D03F7"/>
    <w:rsid w:val="009D0410"/>
    <w:rsid w:val="009D0E9B"/>
    <w:rsid w:val="009D0F24"/>
    <w:rsid w:val="009D27D6"/>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3775"/>
    <w:rsid w:val="00A25306"/>
    <w:rsid w:val="00A254EE"/>
    <w:rsid w:val="00A26D6C"/>
    <w:rsid w:val="00A2732C"/>
    <w:rsid w:val="00A277B6"/>
    <w:rsid w:val="00A305F1"/>
    <w:rsid w:val="00A36C21"/>
    <w:rsid w:val="00A40C7D"/>
    <w:rsid w:val="00A43DBC"/>
    <w:rsid w:val="00A45102"/>
    <w:rsid w:val="00A477B3"/>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60AF"/>
    <w:rsid w:val="00A871A1"/>
    <w:rsid w:val="00A91171"/>
    <w:rsid w:val="00A96739"/>
    <w:rsid w:val="00A97552"/>
    <w:rsid w:val="00AA0931"/>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44FF"/>
    <w:rsid w:val="00B17E6E"/>
    <w:rsid w:val="00B25F73"/>
    <w:rsid w:val="00B27404"/>
    <w:rsid w:val="00B3063C"/>
    <w:rsid w:val="00B331C2"/>
    <w:rsid w:val="00B33206"/>
    <w:rsid w:val="00B357FA"/>
    <w:rsid w:val="00B40FB5"/>
    <w:rsid w:val="00B43DC3"/>
    <w:rsid w:val="00B46F9D"/>
    <w:rsid w:val="00B47D52"/>
    <w:rsid w:val="00B517A1"/>
    <w:rsid w:val="00B52C98"/>
    <w:rsid w:val="00B53AF5"/>
    <w:rsid w:val="00B55779"/>
    <w:rsid w:val="00B5643D"/>
    <w:rsid w:val="00B57A8D"/>
    <w:rsid w:val="00B623FB"/>
    <w:rsid w:val="00B66554"/>
    <w:rsid w:val="00B71BE0"/>
    <w:rsid w:val="00B720EB"/>
    <w:rsid w:val="00B738EF"/>
    <w:rsid w:val="00B7432D"/>
    <w:rsid w:val="00B7468C"/>
    <w:rsid w:val="00B74F83"/>
    <w:rsid w:val="00B80301"/>
    <w:rsid w:val="00B81B85"/>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0002"/>
    <w:rsid w:val="00BD1637"/>
    <w:rsid w:val="00BD3C14"/>
    <w:rsid w:val="00BE3A4F"/>
    <w:rsid w:val="00BE3AC4"/>
    <w:rsid w:val="00BE4D71"/>
    <w:rsid w:val="00BE72E9"/>
    <w:rsid w:val="00BF2397"/>
    <w:rsid w:val="00BF310F"/>
    <w:rsid w:val="00BF635D"/>
    <w:rsid w:val="00C01852"/>
    <w:rsid w:val="00C02A80"/>
    <w:rsid w:val="00C03902"/>
    <w:rsid w:val="00C07722"/>
    <w:rsid w:val="00C07B1A"/>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2A4D"/>
    <w:rsid w:val="00CB3F4D"/>
    <w:rsid w:val="00CB6357"/>
    <w:rsid w:val="00CB68EA"/>
    <w:rsid w:val="00CC0B59"/>
    <w:rsid w:val="00CC2328"/>
    <w:rsid w:val="00CC3290"/>
    <w:rsid w:val="00CC33FC"/>
    <w:rsid w:val="00CC4AB7"/>
    <w:rsid w:val="00CD1A58"/>
    <w:rsid w:val="00CD1D22"/>
    <w:rsid w:val="00CD1E79"/>
    <w:rsid w:val="00CD2D45"/>
    <w:rsid w:val="00CD3974"/>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2DF7"/>
    <w:rsid w:val="00D24CD2"/>
    <w:rsid w:val="00D256C5"/>
    <w:rsid w:val="00D33F08"/>
    <w:rsid w:val="00D36EC9"/>
    <w:rsid w:val="00D36FDC"/>
    <w:rsid w:val="00D378A9"/>
    <w:rsid w:val="00D437F4"/>
    <w:rsid w:val="00D45BE9"/>
    <w:rsid w:val="00D56030"/>
    <w:rsid w:val="00D60AEE"/>
    <w:rsid w:val="00D638CC"/>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798"/>
    <w:rsid w:val="00E15810"/>
    <w:rsid w:val="00E21AB1"/>
    <w:rsid w:val="00E252A1"/>
    <w:rsid w:val="00E252A2"/>
    <w:rsid w:val="00E2655D"/>
    <w:rsid w:val="00E266E0"/>
    <w:rsid w:val="00E27288"/>
    <w:rsid w:val="00E30823"/>
    <w:rsid w:val="00E349DA"/>
    <w:rsid w:val="00E3604A"/>
    <w:rsid w:val="00E37617"/>
    <w:rsid w:val="00E37ED0"/>
    <w:rsid w:val="00E44B40"/>
    <w:rsid w:val="00E462AE"/>
    <w:rsid w:val="00E4785A"/>
    <w:rsid w:val="00E47CB8"/>
    <w:rsid w:val="00E506C6"/>
    <w:rsid w:val="00E52D06"/>
    <w:rsid w:val="00E556DA"/>
    <w:rsid w:val="00E56932"/>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2B63"/>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141DD"/>
    <w:rsid w:val="00F207F3"/>
    <w:rsid w:val="00F2247A"/>
    <w:rsid w:val="00F22F86"/>
    <w:rsid w:val="00F24029"/>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2136"/>
    <w:rsid w:val="00FA3D46"/>
    <w:rsid w:val="00FA49A6"/>
    <w:rsid w:val="00FA5208"/>
    <w:rsid w:val="00FA6E49"/>
    <w:rsid w:val="00FB0F79"/>
    <w:rsid w:val="00FB1015"/>
    <w:rsid w:val="00FB4B61"/>
    <w:rsid w:val="00FB636C"/>
    <w:rsid w:val="00FD6022"/>
    <w:rsid w:val="00FD6336"/>
    <w:rsid w:val="00FD659A"/>
    <w:rsid w:val="00FE0060"/>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B35"/>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yperlink" Target="https://github.com/livioambr/bachelor_thesis_ambrogini"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eader" Target="header6.xml"/><Relationship Id="rId38" Type="http://schemas.openxmlformats.org/officeDocument/2006/relationships/header" Target="header7.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29" Type="http://schemas.openxmlformats.org/officeDocument/2006/relationships/image" Target="media/image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yperlink" Target="https://github.com/livioambr/bachelor_thesis_ambrogini/commit/62db384ccfd6bc25d2e2e77a681963c0f0635081"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doi.org/10.5281/zenodo.2023134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customXml/itemProps2.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3.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07629-94FE-4B3C-8FE2-0EE349534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23530</Words>
  <Characters>134122</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7</cp:revision>
  <cp:lastPrinted>2026-05-11T15:45:00Z</cp:lastPrinted>
  <dcterms:created xsi:type="dcterms:W3CDTF">2026-05-17T07:27:00Z</dcterms:created>
  <dcterms:modified xsi:type="dcterms:W3CDTF">2026-05-17T08:01:00Z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