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 A"/>
        <w:rPr>
          <w:lang w:val="sv-SE"/>
        </w:rPr>
      </w:pPr>
      <w:r>
        <w:rPr>
          <w:sz w:val="48"/>
          <w:szCs w:val="48"/>
          <w:rtl w:val="0"/>
          <w:lang w:val="sv-SE"/>
        </w:rPr>
        <w:t>Kompetensmatris</w:t>
      </w:r>
    </w:p>
    <w:p>
      <w:pPr>
        <w:pStyle w:val="Body"/>
        <w:rPr>
          <w:rFonts w:ascii="Aptos" w:cs="Aptos" w:hAnsi="Aptos" w:eastAsia="Aptos"/>
          <w:sz w:val="20"/>
          <w:szCs w:val="20"/>
        </w:rPr>
      </w:pPr>
      <w:r>
        <w:rPr>
          <w:rFonts w:ascii="Aptos" w:cs="Aptos" w:hAnsi="Aptos" w:eastAsia="Aptos"/>
          <w:sz w:val="20"/>
          <w:szCs w:val="20"/>
          <w:rtl w:val="0"/>
          <w:lang w:val="sv-SE"/>
        </w:rPr>
        <w:t>Fyll v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ä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nligen i varje f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ä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lt i tabellen nedan. H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ä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nvisa i kommentarsf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ä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ltet hur du/ni har dessa f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ä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 xml:space="preserve">rdigheter, samt styrk erfarenheten med exempel. </w:t>
      </w:r>
      <w:r>
        <w:rPr>
          <w:rFonts w:ascii="Aptos" w:cs="Aptos" w:hAnsi="Aptos" w:eastAsia="Aptos"/>
          <w:sz w:val="20"/>
          <w:szCs w:val="20"/>
          <w:u w:val="single"/>
          <w:rtl w:val="0"/>
          <w:lang w:val="sv-SE"/>
        </w:rPr>
        <w:t>Kom ih</w:t>
      </w:r>
      <w:r>
        <w:rPr>
          <w:rFonts w:ascii="Aptos" w:cs="Aptos" w:hAnsi="Aptos" w:eastAsia="Aptos"/>
          <w:sz w:val="20"/>
          <w:szCs w:val="20"/>
          <w:u w:val="single"/>
          <w:rtl w:val="0"/>
          <w:lang w:val="sv-SE"/>
        </w:rPr>
        <w:t>å</w:t>
      </w:r>
      <w:r>
        <w:rPr>
          <w:rFonts w:ascii="Aptos" w:cs="Aptos" w:hAnsi="Aptos" w:eastAsia="Aptos"/>
          <w:sz w:val="20"/>
          <w:szCs w:val="20"/>
          <w:u w:val="single"/>
          <w:rtl w:val="0"/>
          <w:lang w:val="sv-SE"/>
        </w:rPr>
        <w:t>g att vara noggrann och fullst</w:t>
      </w:r>
      <w:r>
        <w:rPr>
          <w:rFonts w:ascii="Aptos" w:cs="Aptos" w:hAnsi="Aptos" w:eastAsia="Aptos"/>
          <w:sz w:val="20"/>
          <w:szCs w:val="20"/>
          <w:u w:val="single"/>
          <w:rtl w:val="0"/>
          <w:lang w:val="sv-SE"/>
        </w:rPr>
        <w:t>ä</w:t>
      </w:r>
      <w:r>
        <w:rPr>
          <w:rFonts w:ascii="Aptos" w:cs="Aptos" w:hAnsi="Aptos" w:eastAsia="Aptos"/>
          <w:sz w:val="20"/>
          <w:szCs w:val="20"/>
          <w:u w:val="single"/>
          <w:rtl w:val="0"/>
          <w:lang w:val="sv-SE"/>
        </w:rPr>
        <w:t>ndig i dina/era svar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. Detta f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ö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r att s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ä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kerst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ä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lla att samtliga skall krav uppfylls. P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å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visas inte kompetens i CV kan ans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ö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 xml:space="preserve">kan komma att bli </w:t>
      </w:r>
      <w:r>
        <w:rPr>
          <w:rFonts w:ascii="Aptos" w:cs="Aptos" w:hAnsi="Aptos" w:eastAsia="Aptos"/>
          <w:b w:val="1"/>
          <w:bCs w:val="1"/>
          <w:sz w:val="20"/>
          <w:szCs w:val="20"/>
          <w:u w:val="single"/>
          <w:rtl w:val="0"/>
          <w:lang w:val="sv-SE"/>
        </w:rPr>
        <w:t>f</w:t>
      </w:r>
      <w:r>
        <w:rPr>
          <w:rFonts w:ascii="Aptos" w:cs="Aptos" w:hAnsi="Aptos" w:eastAsia="Aptos"/>
          <w:b w:val="1"/>
          <w:bCs w:val="1"/>
          <w:sz w:val="20"/>
          <w:szCs w:val="20"/>
          <w:u w:val="single"/>
          <w:rtl w:val="0"/>
          <w:lang w:val="sv-SE"/>
        </w:rPr>
        <w:t>ö</w:t>
      </w:r>
      <w:r>
        <w:rPr>
          <w:rFonts w:ascii="Aptos" w:cs="Aptos" w:hAnsi="Aptos" w:eastAsia="Aptos"/>
          <w:b w:val="1"/>
          <w:bCs w:val="1"/>
          <w:sz w:val="20"/>
          <w:szCs w:val="20"/>
          <w:u w:val="single"/>
          <w:rtl w:val="0"/>
          <w:lang w:val="sv-SE"/>
        </w:rPr>
        <w:t>rkastad</w:t>
      </w:r>
      <w:r>
        <w:rPr>
          <w:rFonts w:ascii="Aptos" w:cs="Aptos" w:hAnsi="Aptos" w:eastAsia="Aptos"/>
          <w:sz w:val="20"/>
          <w:szCs w:val="20"/>
          <w:rtl w:val="0"/>
          <w:lang w:val="sv-SE"/>
        </w:rPr>
        <w:t>.</w:t>
      </w:r>
    </w:p>
    <w:p>
      <w:pPr>
        <w:pStyle w:val="Body"/>
        <w:rPr>
          <w:rFonts w:ascii="Aptos" w:cs="Aptos" w:hAnsi="Aptos" w:eastAsia="Aptos"/>
          <w:b w:val="1"/>
          <w:bCs w:val="1"/>
          <w:i w:val="1"/>
          <w:iCs w:val="1"/>
          <w:sz w:val="20"/>
          <w:szCs w:val="20"/>
        </w:rPr>
      </w:pPr>
      <w:r>
        <w:rPr>
          <w:rFonts w:ascii="Aptos" w:cs="Aptos" w:hAnsi="Aptos" w:eastAsia="Aptos"/>
          <w:b w:val="1"/>
          <w:bCs w:val="1"/>
          <w:i w:val="1"/>
          <w:iCs w:val="1"/>
          <w:sz w:val="20"/>
          <w:szCs w:val="20"/>
          <w:rtl w:val="0"/>
          <w:lang w:val="sv-SE"/>
        </w:rPr>
        <w:t>Exempel, urklipp matris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4286250" cy="1993265"/>
            <wp:effectExtent l="0" t="0" r="0" b="0"/>
            <wp:docPr id="1073741825" name="officeArt object" descr="En bild som visar text, skärmbild, Teckensnitt, nummer&#10;&#10;AI-genererat innehåll kan vara felaktig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En bild som visar text, skärmbild, Teckensnitt, nummerAI-genererat innehåll kan vara felaktigt." descr="En bild som visar text, skärmbild, Teckensnitt, nummerAI-genererat innehåll kan vara felaktigt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932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lang w:val="sv-SE"/>
        </w:rPr>
      </w:pPr>
    </w:p>
    <w:p>
      <w:pPr>
        <w:pStyle w:val="Body"/>
        <w:rPr>
          <w:rFonts w:ascii="Aptos" w:cs="Aptos" w:hAnsi="Aptos" w:eastAsia="Aptos"/>
          <w:b w:val="1"/>
          <w:bCs w:val="1"/>
          <w:i w:val="1"/>
          <w:iCs w:val="1"/>
          <w:sz w:val="20"/>
          <w:szCs w:val="20"/>
        </w:rPr>
      </w:pPr>
      <w:r>
        <w:rPr>
          <w:rFonts w:ascii="Aptos" w:cs="Aptos" w:hAnsi="Aptos" w:eastAsia="Aptos"/>
          <w:b w:val="1"/>
          <w:bCs w:val="1"/>
          <w:i w:val="1"/>
          <w:iCs w:val="1"/>
          <w:sz w:val="20"/>
          <w:szCs w:val="20"/>
          <w:rtl w:val="0"/>
          <w:lang w:val="sv-SE"/>
        </w:rPr>
        <w:t>Exempel, urklipp CV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4110990" cy="3413125"/>
            <wp:effectExtent l="0" t="0" r="0" b="0"/>
            <wp:docPr id="1073741826" name="officeArt object" descr="En bild som visar text, skärmbild, Teckensnitt, nummer&#10;&#10;AI-genererat innehåll kan vara felaktig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En bild som visar text, skärmbild, Teckensnitt, nummerAI-genererat innehåll kan vara felaktigt." descr="En bild som visar text, skärmbild, Teckensnitt, nummerAI-genererat innehåll kan vara felaktigt.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34131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lang w:val="sv-SE"/>
        </w:rPr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sv-SE"/>
        </w:rPr>
        <w:br w:type="page"/>
      </w:r>
    </w:p>
    <w:tbl>
      <w:tblPr>
        <w:tblW w:w="906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efccca"/>
        <w:tblLayout w:type="fixed"/>
      </w:tblPr>
      <w:tblGrid>
        <w:gridCol w:w="3943"/>
        <w:gridCol w:w="1415"/>
        <w:gridCol w:w="3704"/>
      </w:tblGrid>
      <w:tr>
        <w:tblPrEx>
          <w:shd w:val="clear" w:color="auto" w:fill="efccca"/>
        </w:tblPrEx>
        <w:trPr>
          <w:trHeight w:val="1050" w:hRule="atLeast"/>
        </w:trPr>
        <w:tc>
          <w:tcPr>
            <w:tcW w:type="dxa" w:w="3943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e78e2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sv-SE"/>
                <w14:textFill>
                  <w14:solidFill>
                    <w14:srgbClr w14:val="FFFFFF"/>
                  </w14:solidFill>
                </w14:textFill>
              </w:rPr>
              <w:t>Ska-krav (m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sv-SE"/>
                <w14:textFill>
                  <w14:solidFill>
                    <w14:srgbClr w14:val="FFFFFF"/>
                  </w14:solidFill>
                </w14:textFill>
              </w:rPr>
              <w:t>å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sv-SE"/>
                <w14:textFill>
                  <w14:solidFill>
                    <w14:srgbClr w14:val="FFFFFF"/>
                  </w14:solidFill>
                </w14:textFill>
              </w:rPr>
              <w:t>ste uppfyllas till 100% och styrkas med CV)</w:t>
            </w:r>
          </w:p>
        </w:tc>
        <w:tc>
          <w:tcPr>
            <w:tcW w:type="dxa" w:w="1415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e78e2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sv-SE"/>
                <w14:textFill>
                  <w14:solidFill>
                    <w14:srgbClr w14:val="FFFFFF"/>
                  </w14:solidFill>
                </w14:textFill>
              </w:rPr>
              <w:t xml:space="preserve">Antal 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sv-SE"/>
                <w14:textFill>
                  <w14:solidFill>
                    <w14:srgbClr w14:val="FFFFFF"/>
                  </w14:solidFill>
                </w14:textFill>
              </w:rPr>
              <w:t>å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sv-SE"/>
                <w14:textFill>
                  <w14:solidFill>
                    <w14:srgbClr w14:val="FFFFFF"/>
                  </w14:solidFill>
                </w14:textFill>
              </w:rPr>
              <w:t>r</w:t>
            </w:r>
          </w:p>
        </w:tc>
        <w:tc>
          <w:tcPr>
            <w:tcW w:type="dxa" w:w="3704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e78e2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sv-SE"/>
                <w14:textFill>
                  <w14:solidFill>
                    <w14:srgbClr w14:val="FFFFFF"/>
                  </w14:solidFill>
                </w14:textFill>
              </w:rPr>
              <w:t>Fritextbeskrivning av kravuppfyllnad samt h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sv-SE"/>
                <w14:textFill>
                  <w14:solidFill>
                    <w14:srgbClr w14:val="FFFFFF"/>
                  </w14:solidFill>
                </w14:textFill>
              </w:rPr>
              <w:t>ä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sv-SE"/>
                <w14:textFill>
                  <w14:solidFill>
                    <w14:srgbClr w14:val="FFFFFF"/>
                  </w14:solidFill>
                </w14:textFill>
              </w:rPr>
              <w:t>nvisning till CV</w:t>
            </w:r>
            <w:r>
              <w:rPr>
                <w:rFonts w:ascii="Aptos" w:cs="Aptos" w:hAnsi="Aptos" w:eastAsia="Aptos"/>
                <w:outline w:val="0"/>
                <w:color w:val="ffffff"/>
                <w:u w:color="ffffff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r>
          </w:p>
        </w:tc>
      </w:tr>
      <w:tr>
        <w:tblPrEx>
          <w:shd w:val="clear" w:color="auto" w:fill="efccca"/>
        </w:tblPrEx>
        <w:trPr>
          <w:trHeight w:val="4810" w:hRule="atLeast"/>
        </w:trPr>
        <w:tc>
          <w:tcPr>
            <w:tcW w:type="dxa" w:w="3943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Aptos" w:cs="Aptos" w:hAnsi="Aptos" w:eastAsia="Aptos"/>
                <w:sz w:val="20"/>
                <w:szCs w:val="20"/>
                <w:shd w:val="nil" w:color="auto" w:fill="auto"/>
              </w:rPr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Kompetensniv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å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Konsulten ska vara p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å 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kompetensniv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å 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4 inom aktuellt omr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å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de:  </w:t>
            </w:r>
          </w:p>
          <w:p>
            <w:pPr>
              <w:pStyle w:val="Body"/>
              <w:spacing w:after="0" w:line="240" w:lineRule="auto"/>
              <w:rPr>
                <w:rFonts w:ascii="Aptos" w:cs="Aptos" w:hAnsi="Aptos" w:eastAsia="Aptos"/>
                <w:sz w:val="20"/>
                <w:szCs w:val="20"/>
                <w:shd w:val="nil" w:color="auto" w:fill="auto"/>
                <w:lang w:val="sv-SE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Kunskap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 - h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g generalistkompetens, eller mycket h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g kompetens inom aktuell roll</w:t>
            </w:r>
          </w:p>
          <w:p>
            <w:pPr>
              <w:pStyle w:val="Body"/>
              <w:spacing w:after="0" w:line="240" w:lineRule="auto"/>
              <w:rPr>
                <w:rFonts w:ascii="Aptos" w:cs="Aptos" w:hAnsi="Aptos" w:eastAsia="Aptos"/>
                <w:sz w:val="20"/>
                <w:szCs w:val="20"/>
                <w:shd w:val="nil" w:color="auto" w:fill="auto"/>
                <w:lang w:val="sv-SE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Erfarenhet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 - har fler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å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rig erfarenhet av komplexa uppdrag inom aktuell roll och genomf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r konsulttj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ä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nster med mycket h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g kvalitet. Niv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å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n uppn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å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s normalt efter 9-12 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å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rs arbete inom aktuell roll</w:t>
            </w:r>
          </w:p>
          <w:p>
            <w:pPr>
              <w:pStyle w:val="Body"/>
              <w:spacing w:after="0" w:line="240" w:lineRule="auto"/>
              <w:rPr>
                <w:rFonts w:ascii="Aptos" w:cs="Aptos" w:hAnsi="Aptos" w:eastAsia="Aptos"/>
                <w:sz w:val="20"/>
                <w:szCs w:val="20"/>
                <w:shd w:val="nil" w:color="auto" w:fill="auto"/>
                <w:lang w:val="sv-SE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Ledning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 – 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tar ansvar f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r stora delar av uppdraget </w:t>
            </w:r>
          </w:p>
          <w:p>
            <w:pPr>
              <w:pStyle w:val="Body"/>
              <w:spacing w:after="0" w:line="240" w:lineRule="auto"/>
              <w:rPr>
                <w:rFonts w:ascii="Aptos" w:cs="Aptos" w:hAnsi="Aptos" w:eastAsia="Aptos"/>
                <w:sz w:val="20"/>
                <w:szCs w:val="20"/>
                <w:shd w:val="nil" w:color="auto" w:fill="auto"/>
                <w:lang w:val="sv-SE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Sj</w:t>
            </w:r>
            <w:r>
              <w:rPr>
                <w:rFonts w:ascii="Aptos" w:cs="Aptos" w:hAnsi="Aptos" w:eastAsia="Aptos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ä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lvst</w:t>
            </w:r>
            <w:r>
              <w:rPr>
                <w:rFonts w:ascii="Aptos" w:cs="Aptos" w:hAnsi="Aptos" w:eastAsia="Aptos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ä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ndighet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 - mycket stor sj</w:t>
            </w:r>
            <w:r>
              <w:rPr>
                <w:rFonts w:ascii="Aptos" w:cs="Aptos" w:hAnsi="Aptos" w:eastAsia="Aptos" w:hint="default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ä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lvst</w:t>
            </w:r>
            <w:r>
              <w:rPr>
                <w:rFonts w:ascii="Aptos" w:cs="Aptos" w:hAnsi="Aptos" w:eastAsia="Aptos" w:hint="default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ä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ndighet</w:t>
            </w:r>
          </w:p>
        </w:tc>
        <w:tc>
          <w:tcPr>
            <w:tcW w:type="dxa" w:w="1415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  <w:jc w:val="center"/>
            </w:pP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20+ 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å</w:t>
            </w:r>
            <w:r>
              <w:rPr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3704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  <w:rPr>
                <w:shd w:val="nil" w:color="auto" w:fill="auto"/>
              </w:rPr>
            </w:pP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Liviu Florin Ilie har mer </w:t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n 20 </w:t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å</w:t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rs erfarenhet av systemutveckling och f</w:t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rvaltning av verksamhetskritiska system. Sedan 2015 har han haft seniora roller som senior utvecklare, principal software engineer och lead solutions consultant.</w:t>
            </w:r>
          </w:p>
          <w:p>
            <w:pPr>
              <w:pStyle w:val="Body"/>
              <w:bidi w:val="0"/>
              <w:spacing w:after="60" w:line="240" w:lineRule="auto"/>
              <w:ind w:left="0" w:right="0" w:firstLine="0"/>
              <w:jc w:val="left"/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pP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UniCredit Services, 2015/03-2018/03: senior utvecklare</w:t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.</w:t>
            </w:r>
          </w:p>
          <w:p>
            <w:pPr>
              <w:pStyle w:val="Body"/>
              <w:bidi w:val="0"/>
              <w:spacing w:after="6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Under 2017–2018 agerade han som teamledare och arkitekt för FTP-moderniseringen från Java-monolit till mikrotjänster. Han ansvarade för tre utvecklare, teknisk vägledning och arkitekturella beslut. Han ansvarade också för migreringen av BUL-CT1 och ledde en utvecklare.</w:t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  <w:p>
            <w:pPr>
              <w:pStyle w:val="Body"/>
              <w:bidi w:val="0"/>
              <w:spacing w:after="6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Dell Financial Services, 2018/03-2021/05; LeoVegas, 2021/05-2023/05; Tietoevry, 2023/05-2026/07: komplex utveckling, integrationer, tekniskt ansvar och sj</w:t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lvst</w:t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ndigt genomf</w:t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rande. Se CV, Karri</w:t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rprofil och Erfarenheter.</w:t>
            </w:r>
          </w:p>
        </w:tc>
      </w:tr>
      <w:tr>
        <w:tblPrEx>
          <w:shd w:val="clear" w:color="auto" w:fill="efccca"/>
        </w:tblPrEx>
        <w:trPr>
          <w:trHeight w:val="730" w:hRule="atLeast"/>
        </w:trPr>
        <w:tc>
          <w:tcPr>
            <w:tcW w:type="dxa" w:w="3943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Ange konsultens namn samt e-mailadress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1415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704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</w:pPr>
            <w:r>
              <w:rPr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Liviu Florin Ilie, ilie.liviu@gmail.com</w:t>
            </w:r>
          </w:p>
        </w:tc>
      </w:tr>
      <w:tr>
        <w:tblPrEx>
          <w:shd w:val="clear" w:color="auto" w:fill="efccca"/>
        </w:tblPrEx>
        <w:trPr>
          <w:trHeight w:val="2170" w:hRule="atLeast"/>
        </w:trPr>
        <w:tc>
          <w:tcPr>
            <w:tcW w:type="dxa" w:w="3943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Aptos" w:cs="Aptos" w:hAnsi="Aptos" w:eastAsia="Aptos"/>
                <w:sz w:val="20"/>
                <w:szCs w:val="20"/>
                <w:shd w:val="nil" w:color="auto" w:fill="auto"/>
              </w:rPr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Ange samtliga intervjutider som konsulten kan vara tillg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ä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nglig f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r intervju. 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lang w:val="sv-SE"/>
              </w:rPr>
              <w:br w:type="textWrapping"/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Planerade intervjutider 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ä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r tisdag 13/10 kl 10, onsdag 14/10 kl10 och fredag 16/10 kl 10. Intervjun genomf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rs via Teams eller p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å 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plats p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å 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Jordbruksverket i J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nk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ping </w:t>
            </w:r>
          </w:p>
        </w:tc>
        <w:tc>
          <w:tcPr>
            <w:tcW w:type="dxa" w:w="1415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704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</w:pPr>
            <w:r>
              <w:rPr>
                <w:rFonts w:ascii="Aptos" w:cs="Aptos" w:hAnsi="Aptos" w:eastAsia="Aptos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13/10 kl. 10</w:t>
            </w:r>
            <w:r>
              <w:rPr>
                <w:rFonts w:ascii="Aptos" w:cs="Aptos" w:hAnsi="Aptos" w:eastAsia="Aptos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 eller</w:t>
            </w:r>
            <w:r>
              <w:rPr>
                <w:rFonts w:ascii="Aptos" w:cs="Aptos" w:hAnsi="Aptos" w:eastAsia="Aptos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 1</w:t>
            </w:r>
            <w:r>
              <w:rPr>
                <w:rFonts w:ascii="Aptos" w:cs="Aptos" w:hAnsi="Aptos" w:eastAsia="Aptos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6</w:t>
            </w:r>
            <w:r>
              <w:rPr>
                <w:rFonts w:ascii="Aptos" w:cs="Aptos" w:hAnsi="Aptos" w:eastAsia="Aptos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/10 kl. 10.</w:t>
            </w:r>
          </w:p>
        </w:tc>
      </w:tr>
      <w:tr>
        <w:tblPrEx>
          <w:shd w:val="clear" w:color="auto" w:fill="efccca"/>
        </w:tblPrEx>
        <w:trPr>
          <w:trHeight w:val="4810" w:hRule="atLeast"/>
        </w:trPr>
        <w:tc>
          <w:tcPr>
            <w:tcW w:type="dxa" w:w="3943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Aptos" w:cs="Aptos" w:hAnsi="Aptos" w:eastAsia="Aptos"/>
                <w:sz w:val="20"/>
                <w:szCs w:val="20"/>
                <w:shd w:val="nil" w:color="auto" w:fill="auto"/>
              </w:rPr>
            </w:pP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Referensuppdrag 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Jordbruksverket kan komma att genomf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ra referenskontroll efter intervjuer f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r att verifiera att den erbjudna konsulten uppfyller krav p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å 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kompetens och erfarenhet samt f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r att bed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ma kvaliteten i tidigare likv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ä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rdiga uppdrag. </w:t>
            </w:r>
          </w:p>
          <w:p>
            <w:pPr>
              <w:pStyle w:val="Body"/>
              <w:spacing w:after="0" w:line="240" w:lineRule="auto"/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lang w:val="sv-SE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Leverant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ren ska s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ä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kerst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ä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lla att 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minst tv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å 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referenser kan kontaktas vid f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rfr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å</w:t>
            </w:r>
            <w:r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gan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. </w:t>
            </w:r>
          </w:p>
          <w:p>
            <w:pPr>
              <w:pStyle w:val="Body"/>
              <w:spacing w:after="0" w:line="240" w:lineRule="auto"/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lang w:val="sv-SE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Om uppgifter fr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å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n referenskontroll visar att konsulten inte uppfyller st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ä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llda krav eller om uppgifterna v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ä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sentligt mots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ä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ger vad leverant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ren uppgett kan anbudet komma att f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rkastas. </w:t>
            </w:r>
          </w:p>
          <w:p>
            <w:pPr>
              <w:pStyle w:val="Body"/>
              <w:spacing w:after="0" w:line="240" w:lineRule="auto"/>
              <w:rPr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lang w:val="sv-SE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Om konsulten gjort uppdrag </w:t>
            </w:r>
            <w:r>
              <w:rPr>
                <w:rFonts w:ascii="Aptos" w:cs="Aptos" w:hAnsi="Aptos" w:eastAsia="Aptos" w:hint="default"/>
                <w:sz w:val="20"/>
                <w:szCs w:val="20"/>
                <w:shd w:val="nil" w:color="auto" w:fill="auto"/>
                <w:rtl w:val="0"/>
                <w:lang w:val="sv-SE"/>
              </w:rPr>
              <w:t>å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t Jordbruksverket s</w:t>
            </w:r>
            <w:r>
              <w:rPr>
                <w:rFonts w:ascii="Aptos" w:cs="Aptos" w:hAnsi="Aptos" w:eastAsia="Aptos" w:hint="default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å </w:t>
            </w:r>
            <w:r>
              <w:rPr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ska Jordbruksverket anges som referens.</w:t>
            </w:r>
          </w:p>
        </w:tc>
        <w:tc>
          <w:tcPr>
            <w:tcW w:type="dxa" w:w="1415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704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  <w:rPr>
                <w:rFonts w:ascii="Helvetica Neue" w:cs="Helvetica Neue" w:hAnsi="Helvetica Neue" w:eastAsia="Helvetica Neue"/>
                <w:outline w:val="0"/>
                <w:color w:val="000000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</w:rPr>
            </w:pPr>
            <w:r>
              <w:rPr>
                <w:rtl w:val="0"/>
                <w:lang w:val="sv-SE"/>
              </w:rPr>
              <w:t>M</w:t>
            </w:r>
            <w:r>
              <w:rPr>
                <w:rtl w:val="0"/>
              </w:rPr>
              <w:t>ă</w:t>
            </w:r>
            <w:r>
              <w:rPr>
                <w:rtl w:val="0"/>
              </w:rPr>
              <w:t>d</w:t>
            </w:r>
            <w:r>
              <w:rPr>
                <w:rtl w:val="0"/>
              </w:rPr>
              <w:t>ă</w:t>
            </w:r>
            <w:r>
              <w:rPr>
                <w:rtl w:val="0"/>
              </w:rPr>
              <w:t>lin Ghi</w:t>
            </w:r>
            <w:r>
              <w:rPr>
                <w:rtl w:val="0"/>
              </w:rPr>
              <w:t>ță</w:t>
            </w:r>
            <w:r>
              <w:rPr>
                <w:rtl w:val="0"/>
              </w:rPr>
              <w:t xml:space="preserve">, </w:t>
            </w:r>
            <w:r>
              <w:rPr>
                <w:rtl w:val="0"/>
                <w:lang w:val="sv-SE"/>
              </w:rPr>
              <w:t>Unicredit</w:t>
            </w:r>
            <w:r>
              <w:rPr>
                <w:rtl w:val="0"/>
              </w:rPr>
              <w:t xml:space="preserve"> (2017)</w:t>
            </w:r>
            <w:r>
              <w:rPr>
                <w:rtl w:val="0"/>
                <w:lang w:val="sv-SE"/>
              </w:rPr>
              <w:t>. De jobbade tillsammans p</w:t>
            </w:r>
            <w:r>
              <w:rPr>
                <w:rtl w:val="0"/>
                <w:lang w:val="sv-SE"/>
              </w:rPr>
              <w:t xml:space="preserve">å  </w:t>
            </w:r>
            <w:r>
              <w:rPr>
                <w:rtl w:val="0"/>
                <w:lang w:val="sv-SE"/>
              </w:rPr>
              <w:t xml:space="preserve">BUL-CT1 projektet </w:t>
            </w:r>
            <w:r>
              <w:rPr>
                <w:rFonts w:ascii="Aptos" w:cs="Aptos" w:hAnsi="Aptos" w:eastAsia="Aptos"/>
                <w:b w:val="1"/>
                <w:bCs w:val="1"/>
                <w:sz w:val="17"/>
                <w:szCs w:val="17"/>
                <w:lang w:val="en-US"/>
              </w:rPr>
              <w:br w:type="textWrapping"/>
            </w:r>
            <w:r>
              <w:rPr>
                <w:rFonts w:ascii="Aptos" w:cs="Aptos" w:hAnsi="Aptos" w:eastAsia="Aptos"/>
                <w:sz w:val="17"/>
                <w:szCs w:val="17"/>
                <w:rtl w:val="0"/>
                <w:lang w:val="en-US"/>
              </w:rPr>
              <w:t xml:space="preserve">email: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"mailto:madalinmghita@gmail.com"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tl w:val="0"/>
              </w:rPr>
              <w:t>madalinmghita@gmail.com</w:t>
            </w:r>
            <w:r>
              <w:rPr/>
              <w:fldChar w:fldCharType="end" w:fldLock="0"/>
            </w:r>
            <w:r>
              <w:rPr>
                <w:rFonts w:ascii="Helvetica Neue" w:hAnsi="Helvetica Neue"/>
                <w:outline w:val="0"/>
                <w:color w:val="000000"/>
                <w:rtl w:val="0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</w:rPr>
              <w:t xml:space="preserve">  </w:t>
            </w:r>
            <w:r>
              <w:rPr>
                <w:rFonts w:ascii="Helvetica Neue" w:hAnsi="Helvetica Neue"/>
                <w:outline w:val="0"/>
                <w:color w:val="000000"/>
                <w:rtl w:val="0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</w:rPr>
              <w:t xml:space="preserve">phone: </w:t>
            </w:r>
            <w:r>
              <w:rPr>
                <w:rFonts w:ascii="Helvetica Neue" w:hAnsi="Helvetica Neue"/>
                <w:outline w:val="0"/>
                <w:color w:val="000000"/>
                <w:rtl w:val="0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</w:rPr>
              <w:t>+40768903621</w:t>
            </w:r>
          </w:p>
          <w:p>
            <w:pPr>
              <w:pStyle w:val="Body"/>
              <w:spacing w:after="60" w:line="240" w:lineRule="auto"/>
              <w:rPr>
                <w:rFonts w:ascii="Helvetica Neue" w:cs="Helvetica Neue" w:hAnsi="Helvetica Neue" w:eastAsia="Helvetica Neue"/>
                <w:outline w:val="0"/>
                <w:color w:val="000000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</w:rPr>
            </w:pPr>
          </w:p>
          <w:p>
            <w:pPr>
              <w:pStyle w:val="Body"/>
              <w:spacing w:after="60" w:line="240" w:lineRule="auto"/>
              <w:rPr>
                <w:rStyle w:val="None"/>
                <w:rFonts w:ascii="Aptos" w:cs="Aptos" w:hAnsi="Aptos" w:eastAsia="Aptos"/>
                <w:b w:val="1"/>
                <w:bCs w:val="1"/>
                <w:sz w:val="17"/>
                <w:szCs w:val="17"/>
                <w:shd w:val="nil" w:color="auto" w:fill="auto"/>
                <w:lang w:val="en-US"/>
              </w:rPr>
            </w:pPr>
            <w:r>
              <w:rPr>
                <w:rtl w:val="0"/>
              </w:rPr>
              <w:t>Martin Martinsson</w:t>
            </w:r>
            <w:r>
              <w:rPr>
                <w:rtl w:val="0"/>
              </w:rPr>
              <w:t>, Leovegas (2022)</w:t>
            </w:r>
            <w:r>
              <w:rPr>
                <w:shd w:val="clear" w:color="auto" w:fill="ffffff"/>
              </w:rPr>
              <w:br w:type="textWrapping"/>
            </w:r>
            <w:r>
              <w:rPr>
                <w:rtl w:val="0"/>
                <w:lang w:val="sv-SE"/>
              </w:rPr>
              <w:t>Stationsgatan 3 664 96 Segmon</w:t>
            </w:r>
            <w:r>
              <w:rPr>
                <w:shd w:val="clear" w:color="auto" w:fill="ffffff"/>
              </w:rPr>
              <w:br w:type="textWrapping"/>
            </w:r>
            <w:r>
              <w:rPr>
                <w:rtl w:val="0"/>
              </w:rPr>
              <w:t xml:space="preserve">email: </w:t>
            </w: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"mailto:vaxquis@gmail.com"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</w:rPr>
              <w:t>vaxquis@gmail.com</w:t>
            </w:r>
            <w:r>
              <w:rPr/>
              <w:fldChar w:fldCharType="end" w:fldLock="0"/>
            </w:r>
            <w:r>
              <w:rPr>
                <w:rStyle w:val="None"/>
                <w:shd w:val="clear" w:color="auto" w:fill="ffffff"/>
              </w:rPr>
              <w:br w:type="textWrapping"/>
            </w:r>
            <w:r>
              <w:rPr>
                <w:rtl w:val="0"/>
                <w:lang w:val="it-IT"/>
              </w:rPr>
              <w:t>phone: +46 764962576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.</w:t>
            </w:r>
          </w:p>
          <w:p>
            <w:pPr>
              <w:pStyle w:val="Body"/>
              <w:spacing w:after="60" w:line="240" w:lineRule="auto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17"/>
                <w:szCs w:val="17"/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efccca"/>
        </w:tblPrEx>
        <w:trPr>
          <w:trHeight w:val="790" w:hRule="atLeast"/>
        </w:trPr>
        <w:tc>
          <w:tcPr>
            <w:tcW w:type="dxa" w:w="3943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f0ba7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 xml:space="preserve">Kompetenskrav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 xml:space="preserve">–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Ska-krav</w:t>
            </w:r>
          </w:p>
        </w:tc>
        <w:tc>
          <w:tcPr>
            <w:tcW w:type="dxa" w:w="1415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f0ba7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 xml:space="preserve">Antal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r</w:t>
            </w:r>
          </w:p>
        </w:tc>
        <w:tc>
          <w:tcPr>
            <w:tcW w:type="dxa" w:w="3704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f0ba7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Fritextbeskrivning av kravuppfyllnad samt h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ä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nvisning till CV</w:t>
            </w:r>
          </w:p>
        </w:tc>
      </w:tr>
      <w:tr>
        <w:tblPrEx>
          <w:shd w:val="clear" w:color="auto" w:fill="efccca"/>
        </w:tblPrEx>
        <w:trPr>
          <w:trHeight w:val="2622" w:hRule="atLeast"/>
        </w:trPr>
        <w:tc>
          <w:tcPr>
            <w:tcW w:type="dxa" w:w="9062"/>
            <w:gridSpan w:val="3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Style w:val="None"/>
                <w:shd w:val="nil" w:color="auto" w:fill="auto"/>
                <w:lang w:val="sv-SE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sv-SE"/>
              </w:rPr>
              <w:t xml:space="preserve">OBS! 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Leverant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ö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ren ska i nedanst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å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ende fr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å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gor redovisa att namngiven konsult uppfyller dessa kompetenskrav. Ut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ö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ver att kompetenskraven uppfylls ska f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ö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ljande uppgifter framg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å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: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shd w:val="nil" w:color="auto" w:fill="auto"/>
                <w:rtl w:val="0"/>
                <w:lang w:val="sv-SE"/>
              </w:rPr>
              <w:t xml:space="preserve">- Uppdragsgivare 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shd w:val="nil" w:color="auto" w:fill="auto"/>
                <w:rtl w:val="0"/>
                <w:lang w:val="sv-SE"/>
              </w:rPr>
              <w:t>- Omfattning samt start- och slut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å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r f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ö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r uppdraget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Style w:val="None"/>
                <w:b w:val="1"/>
                <w:bCs w:val="1"/>
                <w:shd w:val="nil" w:color="auto" w:fill="auto"/>
                <w:rtl w:val="0"/>
              </w:rPr>
            </w:pPr>
            <w:r>
              <w:rPr>
                <w:rStyle w:val="None"/>
                <w:b w:val="0"/>
                <w:bCs w:val="0"/>
                <w:shd w:val="nil" w:color="auto" w:fill="auto"/>
                <w:rtl w:val="0"/>
                <w:lang w:val="sv-SE"/>
              </w:rPr>
              <w:t xml:space="preserve">- Kort beskrivning av uppdraget 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shd w:val="nil" w:color="auto" w:fill="auto"/>
                <w:rtl w:val="0"/>
                <w:lang w:val="sv-SE"/>
              </w:rPr>
              <w:t>s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>å</w:t>
            </w:r>
            <w:r>
              <w:rPr>
                <w:rStyle w:val="None"/>
                <w:shd w:val="nil" w:color="auto" w:fill="auto"/>
                <w:rtl w:val="0"/>
                <w:lang w:val="sv-SE"/>
              </w:rPr>
              <w:t xml:space="preserve">vida det inte finns beskrivet i konsultens CV. </w:t>
            </w:r>
          </w:p>
          <w:p>
            <w:pPr>
              <w:pStyle w:val="Body"/>
              <w:spacing w:after="0" w:line="240" w:lineRule="auto"/>
              <w:rPr>
                <w:rStyle w:val="None"/>
                <w:shd w:val="nil" w:color="auto" w:fill="auto"/>
                <w:lang w:val="sv-SE"/>
              </w:rPr>
            </w:pPr>
          </w:p>
          <w:p>
            <w:pPr>
              <w:pStyle w:val="Body"/>
              <w:spacing w:after="0" w:line="240" w:lineRule="auto"/>
              <w:rPr>
                <w:rStyle w:val="None"/>
                <w:shd w:val="nil" w:color="auto" w:fill="auto"/>
                <w:lang w:val="sv-SE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sv-SE"/>
              </w:rPr>
              <w:t>Redovisa konsultens mycket goda kunskaper och professionella erfarenhet av:</w:t>
            </w:r>
            <w:r>
              <w:rPr>
                <w:rStyle w:val="None"/>
                <w:shd w:val="nil" w:color="auto" w:fill="auto"/>
              </w:rPr>
            </w:r>
          </w:p>
        </w:tc>
      </w:tr>
      <w:tr>
        <w:tblPrEx>
          <w:shd w:val="clear" w:color="auto" w:fill="efccca"/>
        </w:tblPrEx>
        <w:trPr>
          <w:trHeight w:val="8050" w:hRule="atLeast"/>
        </w:trPr>
        <w:tc>
          <w:tcPr>
            <w:tcW w:type="dxa" w:w="3943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1"/>
              </w:numPr>
              <w:spacing w:after="0" w:line="240" w:lineRule="auto"/>
              <w:rPr>
                <w:rFonts w:ascii="Aptos" w:cs="Aptos" w:hAnsi="Aptos" w:eastAsia="Aptos"/>
                <w:b w:val="1"/>
                <w:bCs w:val="1"/>
                <w:sz w:val="20"/>
                <w:szCs w:val="20"/>
                <w:lang w:val="sv-SE"/>
              </w:rPr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Redovisa konsultens goda kunskaper och dokumenterade professionella erfarenhet inom Systemdesign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1415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  <w:jc w:val="center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11+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3704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lang w:val="en-US"/>
              </w:rPr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Systemdesign har varit en r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d tr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d genom Livius karri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r och en viktig del av hans dagliga arbete. 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ven n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 det formella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arkitekturansvaret har legat hos n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gon annan har han aktivt deltagit i diskussioner om tekniska v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gval, analyserat fattade beslut och f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reslagit f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ttringar.</w:t>
            </w:r>
          </w:p>
          <w:p>
            <w:pPr>
              <w:pStyle w:val="Default"/>
              <w:suppressAutoHyphens w:val="1"/>
              <w:spacing w:before="0" w:after="240" w:line="240" w:lineRule="auto"/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lang w:val="en-US"/>
              </w:rPr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Liviu 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 verklighetsn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ra och saklig. Han bed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mer tekniska l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sningar ur ett realistiskt perspektiv och prioriterar funktionalitet, underh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llbarhet och praktisk genomf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rbarhet.</w:t>
            </w:r>
          </w:p>
          <w:p>
            <w:pPr>
              <w:pStyle w:val="Default"/>
              <w:suppressAutoHyphens w:val="1"/>
              <w:spacing w:before="0" w:after="240" w:line="240" w:lineRule="auto"/>
              <w:rPr>
                <w:rStyle w:val="None"/>
                <w:rFonts w:ascii="Aptos" w:cs="Aptos" w:hAnsi="Aptos" w:eastAsia="Aptos"/>
                <w:sz w:val="17"/>
                <w:szCs w:val="17"/>
                <w:lang w:val="en-US"/>
              </w:rPr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Vid utformningen av arkitekturen f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 Fund Transfer Price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sv-SE"/>
              </w:rPr>
              <w:t xml:space="preserve"> (Unicredit, 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rtl w:val="0"/>
                <w:lang w:val="en-US"/>
              </w:rPr>
              <w:t>2015/03-2018/03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sv-SE"/>
              </w:rPr>
              <w:t>)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 utgick han fr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n kundens behov, den kompetens som fanns tillg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nglig p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å 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marknaden samt vilka ramverk och verktyg som var b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st l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mpade f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 avdelningens f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ruts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ttningar. Han tog fram en proof of concept och systemdesign f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 l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sningen med Spring Batch, Spring Boot, MyBatis och Vaadin.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rtl w:val="0"/>
                <w:lang w:val="en-US"/>
              </w:rPr>
              <w:t>Han ansvarade f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rtl w:val="0"/>
                <w:lang w:val="en-US"/>
              </w:rPr>
              <w:t>r integrationer mot flera externa system, bland annat en betalningsleverant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rtl w:val="0"/>
                <w:lang w:val="en-US"/>
              </w:rPr>
              <w:t>r hos LeoVegas samt Rule och Upsales i projekt p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rtl w:val="0"/>
                <w:lang w:val="en-US"/>
              </w:rPr>
              <w:t xml:space="preserve">å 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rtl w:val="0"/>
                <w:lang w:val="en-US"/>
              </w:rPr>
              <w:t>Tietoevry.</w:t>
            </w:r>
          </w:p>
          <w:p>
            <w:pPr>
              <w:pStyle w:val="Default"/>
              <w:suppressAutoHyphens w:val="1"/>
              <w:spacing w:before="0" w:after="240" w:line="240" w:lineRule="auto"/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lang w:val="en-US"/>
              </w:rPr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P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å 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LeoVegas utvecklade han 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ven funktionalitet som gjorde det m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jligt f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r Business Intelligence-teamet att komma 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t och anv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nda data i sina rapporter.</w:t>
            </w:r>
          </w:p>
          <w:p>
            <w:pPr>
              <w:pStyle w:val="Default"/>
              <w:suppressAutoHyphens w:val="1"/>
              <w:spacing w:before="0" w:after="240" w:line="240" w:lineRule="auto"/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I Friends-projektet p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å 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Tietoevry byggde han om rapportdelen och anpassade den efter kundens krav och behov.</w:t>
            </w:r>
          </w:p>
        </w:tc>
      </w:tr>
      <w:tr>
        <w:tblPrEx>
          <w:shd w:val="clear" w:color="auto" w:fill="efccca"/>
        </w:tblPrEx>
        <w:trPr>
          <w:trHeight w:val="1990" w:hRule="atLeast"/>
        </w:trPr>
        <w:tc>
          <w:tcPr>
            <w:tcW w:type="dxa" w:w="3943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2"/>
              </w:numPr>
              <w:spacing w:after="0" w:line="240" w:lineRule="auto"/>
              <w:rPr>
                <w:rFonts w:ascii="Aptos" w:cs="Aptos" w:hAnsi="Aptos" w:eastAsia="Aptos"/>
                <w:b w:val="1"/>
                <w:bCs w:val="1"/>
                <w:sz w:val="20"/>
                <w:szCs w:val="20"/>
                <w:lang w:val="sv-SE"/>
              </w:rPr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Redovisa konsultens goda kunskaper och dokumenterade professionella erfarenhet inom Agila metoder (Scrum eller Kanban)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1415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  <w:jc w:val="center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11+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3704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Kontinuerligt agilt arbete sedan 2015 i tv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rfunktionella team. UniCredit Services 2015/03-2018/03, Dell Financial Services 2018/03-2021/05, LeoVegas 2021/05-2023/05 och Tietoevry 2023/05-2026/07. Erfarenheten omfattar iterativ utveckling, prioriterade arbetsfl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den, teamplanering, 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terkoppling och kontinuerliga f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rb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ttringar. Se CV, Karri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rprofil samt Erfarenheter.</w:t>
            </w:r>
          </w:p>
        </w:tc>
      </w:tr>
      <w:tr>
        <w:tblPrEx>
          <w:shd w:val="clear" w:color="auto" w:fill="efccca"/>
        </w:tblPrEx>
        <w:trPr>
          <w:trHeight w:val="1330" w:hRule="atLeast"/>
        </w:trPr>
        <w:tc>
          <w:tcPr>
            <w:tcW w:type="dxa" w:w="3943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3"/>
              </w:numPr>
              <w:spacing w:after="0" w:line="240" w:lineRule="auto"/>
              <w:rPr>
                <w:rFonts w:ascii="Aptos" w:cs="Aptos" w:hAnsi="Aptos" w:eastAsia="Aptos"/>
                <w:b w:val="1"/>
                <w:bCs w:val="1"/>
                <w:sz w:val="20"/>
                <w:szCs w:val="20"/>
                <w:lang w:val="sv-SE"/>
              </w:rPr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Redovisa konsultens goda kunskaper och dokumenterade professionella erfarenhet inom PL/SQL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1415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  <w:jc w:val="center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ca 2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3704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INGENIO-UCS, 2005/04-2007/02: utveckling av en verksamhetskritisk prescoring-applikation f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 en st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rre rum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nsk bank med Oracle Database och PL/SQL. Arbetet omfattade databasn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ra funktionalitet och lagrade procedurer. Se CV, INGENIO-UCS.</w:t>
            </w:r>
          </w:p>
        </w:tc>
      </w:tr>
      <w:tr>
        <w:tblPrEx>
          <w:shd w:val="clear" w:color="auto" w:fill="efccca"/>
        </w:tblPrEx>
        <w:trPr>
          <w:trHeight w:val="1550" w:hRule="atLeast"/>
          <w:cantSplit/>
        </w:trPr>
        <w:tc>
          <w:tcPr>
            <w:tcW w:type="dxa" w:w="3943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4"/>
              </w:numPr>
              <w:spacing w:after="0" w:line="240" w:lineRule="auto"/>
              <w:rPr>
                <w:rFonts w:ascii="Aptos" w:cs="Aptos" w:hAnsi="Aptos" w:eastAsia="Aptos"/>
                <w:b w:val="1"/>
                <w:bCs w:val="1"/>
                <w:sz w:val="20"/>
                <w:szCs w:val="20"/>
                <w:lang w:val="sv-SE"/>
              </w:rPr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Redovisa konsultens goda kunskaper och dokumenterade professionella erfarenhet inom TOAD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1415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  <w:jc w:val="center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ca 2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3704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INGENIO-UCS, 2005/04-2007/02: TOAD anv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ndes tillsammans med Oracle Database och PL/SQL vid utveckling och fels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kning av bankens prescoring-applikation. TOAD anv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ndes 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ven i uppdraget hos Genesys 2007/02-2007/06. Se CV, INGENIO-UCS och Genesys.</w:t>
            </w:r>
          </w:p>
        </w:tc>
      </w:tr>
      <w:tr>
        <w:tblPrEx>
          <w:shd w:val="clear" w:color="auto" w:fill="efccca"/>
        </w:tblPrEx>
        <w:trPr>
          <w:trHeight w:val="1330" w:hRule="atLeast"/>
        </w:trPr>
        <w:tc>
          <w:tcPr>
            <w:tcW w:type="dxa" w:w="3943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5"/>
              </w:numPr>
              <w:spacing w:after="0" w:line="240" w:lineRule="auto"/>
              <w:rPr>
                <w:rFonts w:ascii="Aptos" w:cs="Aptos" w:hAnsi="Aptos" w:eastAsia="Aptos"/>
                <w:b w:val="1"/>
                <w:bCs w:val="1"/>
                <w:sz w:val="20"/>
                <w:szCs w:val="20"/>
                <w:lang w:val="sv-SE"/>
              </w:rPr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Redovisa konsultens goda kunskaper och dokumenterade professionella erfarenhet inom CVS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1415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  <w:jc w:val="center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ca 2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3704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Har anv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nt CVS professionellt i tidigare Java-uppdrag p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å 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Concept Data, bland annat i det l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pande utvecklingsarbetet med applikationskod, exportfunktioner och rapportmoduler. Har d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refter arbetat med SVN och Git samt plattformarna GitHub och GitLab.</w:t>
            </w:r>
          </w:p>
        </w:tc>
      </w:tr>
      <w:tr>
        <w:tblPrEx>
          <w:shd w:val="clear" w:color="auto" w:fill="efccca"/>
        </w:tblPrEx>
        <w:trPr>
          <w:trHeight w:val="2710" w:hRule="atLeast"/>
        </w:trPr>
        <w:tc>
          <w:tcPr>
            <w:tcW w:type="dxa" w:w="3943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6"/>
              </w:numPr>
              <w:spacing w:after="0" w:line="240" w:lineRule="auto"/>
              <w:rPr>
                <w:rFonts w:ascii="Aptos" w:cs="Aptos" w:hAnsi="Aptos" w:eastAsia="Aptos"/>
                <w:b w:val="1"/>
                <w:bCs w:val="1"/>
                <w:sz w:val="20"/>
                <w:szCs w:val="20"/>
                <w:lang w:val="sv-SE"/>
              </w:rPr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Redovisa konsultens goda kunskaper och dokumenterade professionella erfarenhet inom Oracle db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1415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  <w:jc w:val="center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ca 2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3704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fffff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lang w:val="en-US"/>
              </w:rPr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INGENIO-UCS, 2005/04-2007/02: professionell utveckling mot Oracle Database i en verksamhetskritisk bankapplikation. Utvecklade PL/SQL, lagrade procedurer och databasn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ra funktionalitet med TOAD som verktyg. D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rut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ver mer 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n 20 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rs databaserfarenhet fr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n PostgreSQL, MySQL, Neo4j och MongoDB. Se CV, Karri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rprofil och INGENIO-UCS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.</w:t>
            </w:r>
          </w:p>
          <w:p>
            <w:pPr>
              <w:pStyle w:val="Body"/>
              <w:spacing w:after="60" w:line="240" w:lineRule="auto"/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P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å 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Dell Financial Services anv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nde han 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ven Oracle och Oracle Stored Procedures f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 mer avgr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nsade uppgifter.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efccca"/>
        </w:tblPrEx>
        <w:trPr>
          <w:trHeight w:val="1550" w:hRule="atLeast"/>
        </w:trPr>
        <w:tc>
          <w:tcPr>
            <w:tcW w:type="dxa" w:w="3943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7"/>
              </w:numPr>
              <w:spacing w:after="0" w:line="240" w:lineRule="auto"/>
              <w:rPr>
                <w:rFonts w:ascii="Aptos" w:cs="Aptos" w:hAnsi="Aptos" w:eastAsia="Aptos"/>
                <w:b w:val="1"/>
                <w:bCs w:val="1"/>
                <w:sz w:val="20"/>
                <w:szCs w:val="20"/>
                <w:lang w:val="sv-SE"/>
              </w:rPr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  <w:rtl w:val="0"/>
                <w:lang w:val="sv-SE"/>
              </w:rPr>
              <w:t>Redovisa konsultens goda kunskaper och dokumenterade professionella erfarenhet inom Datamodellering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1415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  <w:jc w:val="center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10+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3704"/>
            <w:tcBorders>
              <w:top w:val="single" w:color="ffffff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after="6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Intuitext/Softwin, 2011/10-2015/03; UniCredit Services, 2015/03-2018/03; LeoVegas, 2021/05-2023/05; Tietoevry, 2023/05-2026/07: databas- och persistensarbete med SQL, Hibernate, JPA, MySQL, PostgreSQL och Neo4j. Se CV, Databaser och persistens samt respektive uppdrag.</w:t>
            </w:r>
          </w:p>
        </w:tc>
      </w:tr>
      <w:tr>
        <w:tblPrEx>
          <w:shd w:val="clear" w:color="auto" w:fill="efccca"/>
        </w:tblPrEx>
        <w:trPr>
          <w:trHeight w:val="1050" w:hRule="atLeast"/>
        </w:trPr>
        <w:tc>
          <w:tcPr>
            <w:tcW w:type="dxa" w:w="3943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f0ba7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Style w:val="None"/>
                <w:rFonts w:ascii="Aptos" w:cs="Aptos" w:hAnsi="Aptos" w:eastAsia="Aptos"/>
                <w:shd w:val="nil" w:color="auto" w:fill="auto"/>
              </w:rPr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Merv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ä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 xml:space="preserve">rden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 xml:space="preserve">–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B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ö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r-krav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lang w:val="sv-SE"/>
              </w:rPr>
              <w:br w:type="textWrapping"/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Goda kunskaper inom och professionell erfarenhet av:</w:t>
            </w:r>
          </w:p>
        </w:tc>
        <w:tc>
          <w:tcPr>
            <w:tcW w:type="dxa" w:w="1415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f0ba7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 xml:space="preserve">Antal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r</w:t>
            </w:r>
          </w:p>
        </w:tc>
        <w:tc>
          <w:tcPr>
            <w:tcW w:type="dxa" w:w="3704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f0ba7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Fritextbeskrivning av kravuppfyllnad samt h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ä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sv-SE"/>
              </w:rPr>
              <w:t>nvisning till CV</w:t>
            </w:r>
          </w:p>
        </w:tc>
      </w:tr>
      <w:tr>
        <w:tblPrEx>
          <w:shd w:val="clear" w:color="auto" w:fill="efccca"/>
        </w:tblPrEx>
        <w:trPr>
          <w:trHeight w:val="2110" w:hRule="atLeast"/>
        </w:trPr>
        <w:tc>
          <w:tcPr>
            <w:tcW w:type="dxa" w:w="3943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Business Intelligence</w:t>
            </w:r>
          </w:p>
        </w:tc>
        <w:tc>
          <w:tcPr>
            <w:tcW w:type="dxa" w:w="1415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  <w:jc w:val="center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Flera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3704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lang w:val="en-US"/>
              </w:rPr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Concept Data, 2007/06-2009/03: utvecklade rapportverktyg och en flexibel rapportmodul med JasperReports och JFreeChart.</w:t>
            </w:r>
          </w:p>
          <w:p>
            <w:pPr>
              <w:pStyle w:val="Body"/>
              <w:spacing w:after="60" w:line="240" w:lineRule="auto"/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lang w:val="en-US"/>
              </w:rPr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Intuitext/Softwin, 2011/10-2015/03: BIRT-baserad rapportering. </w:t>
            </w:r>
          </w:p>
          <w:p>
            <w:pPr>
              <w:pStyle w:val="Body"/>
              <w:spacing w:after="60" w:line="240" w:lineRule="auto"/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Tietoevry, Friends MDT 2023/05-2026/07: insamling, visualisering och analys av enk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tdata samt generering av forskningsbaserade rapporter. Se CV.</w:t>
            </w:r>
          </w:p>
        </w:tc>
      </w:tr>
      <w:tr>
        <w:tblPrEx>
          <w:shd w:val="clear" w:color="auto" w:fill="efccca"/>
        </w:tblPrEx>
        <w:trPr>
          <w:trHeight w:val="3310" w:hRule="atLeast"/>
          <w:cantSplit/>
        </w:trPr>
        <w:tc>
          <w:tcPr>
            <w:tcW w:type="dxa" w:w="3943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ETL</w:t>
            </w:r>
          </w:p>
        </w:tc>
        <w:tc>
          <w:tcPr>
            <w:tcW w:type="dxa" w:w="1415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  <w:jc w:val="center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Flera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3704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Har arbetat i avdelningar d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 ETL och databasbaserade informationsfl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den varit centrala aktiviteter samt genomf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rt kurser i IBM DataStage. Har erfarenhet av export- och rapportfl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den med CSV, BIRT och JasperReports. DataStage-erfarenheten 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 utbildningsbaserad och omfattar inte egen utveckling av produktionsfl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den. Se CV, Karri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rprofil och Teknisk kompetens.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lang w:val="en-US"/>
              </w:rPr>
              <w:br w:type="textWrapping"/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Hos UniCredit arbetade han med verksamhetskritiska system i omfattande ETL-fl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den. Systemen anv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ndes bland annat f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 rapportering till centralbanken, som underlag f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 aff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rsbeslut samt f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 hantering och vidareutveckling av ETL-processer.</w:t>
            </w:r>
          </w:p>
        </w:tc>
      </w:tr>
      <w:tr>
        <w:tblPrEx>
          <w:shd w:val="clear" w:color="auto" w:fill="efccca"/>
        </w:tblPrEx>
        <w:trPr>
          <w:trHeight w:val="450" w:hRule="atLeast"/>
        </w:trPr>
        <w:tc>
          <w:tcPr>
            <w:tcW w:type="dxa" w:w="3943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Oracle Data Integrator</w:t>
            </w:r>
          </w:p>
        </w:tc>
        <w:tc>
          <w:tcPr>
            <w:tcW w:type="dxa" w:w="1415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  <w:jc w:val="center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0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3704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Ingen dokumenterad professionell erfarenhet av Oracle Data Integrator.</w:t>
            </w:r>
          </w:p>
        </w:tc>
      </w:tr>
      <w:tr>
        <w:tblPrEx>
          <w:shd w:val="clear" w:color="auto" w:fill="efccca"/>
        </w:tblPrEx>
        <w:trPr>
          <w:trHeight w:val="450" w:hRule="atLeast"/>
        </w:trPr>
        <w:tc>
          <w:tcPr>
            <w:tcW w:type="dxa" w:w="3943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Oracle Analytics Server </w:t>
            </w:r>
          </w:p>
        </w:tc>
        <w:tc>
          <w:tcPr>
            <w:tcW w:type="dxa" w:w="1415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  <w:jc w:val="center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0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3704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Ingen dokumenterad professionell erfarenhet av Oracle Analytics Server.</w:t>
            </w:r>
          </w:p>
        </w:tc>
      </w:tr>
      <w:tr>
        <w:tblPrEx>
          <w:shd w:val="clear" w:color="auto" w:fill="efccca"/>
        </w:tblPrEx>
        <w:trPr>
          <w:trHeight w:val="450" w:hRule="atLeast"/>
        </w:trPr>
        <w:tc>
          <w:tcPr>
            <w:tcW w:type="dxa" w:w="3943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Oracle Warehouse Builder</w:t>
            </w:r>
          </w:p>
        </w:tc>
        <w:tc>
          <w:tcPr>
            <w:tcW w:type="dxa" w:w="1415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  <w:jc w:val="center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0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3704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Ingen dokumenterad professionell erfarenhet av Oracle Warehouse Builder.</w:t>
            </w:r>
          </w:p>
        </w:tc>
      </w:tr>
      <w:tr>
        <w:tblPrEx>
          <w:shd w:val="clear" w:color="auto" w:fill="efccca"/>
        </w:tblPrEx>
        <w:trPr>
          <w:trHeight w:val="890" w:hRule="atLeast"/>
        </w:trPr>
        <w:tc>
          <w:tcPr>
            <w:tcW w:type="dxa" w:w="3943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 xml:space="preserve">BI Publisher </w:t>
            </w:r>
          </w:p>
        </w:tc>
        <w:tc>
          <w:tcPr>
            <w:tcW w:type="dxa" w:w="1415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  <w:jc w:val="center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0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3704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Ingen dokumenterad professionell erfarenhet av BI Publisher. Har n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rliggande rapporterfarenhet av BIRT, JasperReports och JFreeChart.</w:t>
            </w:r>
          </w:p>
        </w:tc>
      </w:tr>
      <w:tr>
        <w:tblPrEx>
          <w:shd w:val="clear" w:color="auto" w:fill="efccca"/>
        </w:tblPrEx>
        <w:trPr>
          <w:trHeight w:val="1550" w:hRule="atLeast"/>
        </w:trPr>
        <w:tc>
          <w:tcPr>
            <w:tcW w:type="dxa" w:w="3943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Git</w:t>
            </w:r>
          </w:p>
        </w:tc>
        <w:tc>
          <w:tcPr>
            <w:tcW w:type="dxa" w:w="1415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  <w:jc w:val="center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11+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3704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 w:line="240" w:lineRule="auto"/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Har arbetat med Git sedan minst 2015 och med GitHub, GitLab samt GitLab CI/CD i flera uppdrag. Exempel: UniCredit Services 2015/03-2018/03, Dell Financial Services 2018/03-2021/05, LeoVegas 2021/05-2023/05 och Tietoevry 2023/05-2026/07. Se CV, Teknisk kompetens och respektive uppdrag.</w:t>
            </w:r>
          </w:p>
        </w:tc>
      </w:tr>
      <w:tr>
        <w:tblPrEx>
          <w:shd w:val="clear" w:color="auto" w:fill="efccca"/>
        </w:tblPrEx>
        <w:trPr>
          <w:trHeight w:val="1550" w:hRule="atLeast"/>
        </w:trPr>
        <w:tc>
          <w:tcPr>
            <w:tcW w:type="dxa" w:w="3943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Style w:val="None"/>
                <w:rFonts w:ascii="Aptos" w:cs="Aptos" w:hAnsi="Aptos" w:eastAsia="Aptos"/>
                <w:sz w:val="20"/>
                <w:szCs w:val="20"/>
                <w:shd w:val="nil" w:color="auto" w:fill="auto"/>
                <w:rtl w:val="0"/>
                <w:lang w:val="sv-SE"/>
              </w:rPr>
              <w:t>Oracle Forms and Reports</w:t>
            </w:r>
          </w:p>
        </w:tc>
        <w:tc>
          <w:tcPr>
            <w:tcW w:type="dxa" w:w="1415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 w:line="240" w:lineRule="auto"/>
              <w:jc w:val="center"/>
            </w:pP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0 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å</w:t>
            </w:r>
            <w:r>
              <w:rPr>
                <w:rStyle w:val="None"/>
                <w:rFonts w:ascii="Aptos" w:cs="Aptos" w:hAnsi="Aptos" w:eastAsia="Apto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3704"/>
            <w:tcBorders>
              <w:top w:val="single" w:color="f0ba7a" w:sz="4" w:space="0" w:shadow="0" w:frame="0"/>
              <w:left w:val="single" w:color="f0ba7a" w:sz="4" w:space="0" w:shadow="0" w:frame="0"/>
              <w:bottom w:val="single" w:color="f0ba7a" w:sz="4" w:space="0" w:shadow="0" w:frame="0"/>
              <w:right w:val="single" w:color="f0ba7a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after="240" w:line="240" w:lineRule="auto"/>
            </w:pP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Ingen dokumenterad professionell erfarenhet av Oracle Forms och Oracle Reports. Han kom d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remot i kontakt med teknikerna under sin universitetsutbildning och har n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ä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rliggande erfarenhet av Java/J2EE, Oracle Database, PL/SQL samt rapportl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>ö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sningar baserade p</w:t>
            </w:r>
            <w:r>
              <w:rPr>
                <w:rStyle w:val="None"/>
                <w:rFonts w:ascii="Aptos" w:cs="Aptos" w:hAnsi="Aptos" w:eastAsia="Aptos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å </w:t>
            </w:r>
            <w:r>
              <w:rPr>
                <w:rStyle w:val="None"/>
                <w:rFonts w:ascii="Aptos" w:cs="Aptos" w:hAnsi="Aptos" w:eastAsia="Aptos"/>
                <w:sz w:val="17"/>
                <w:szCs w:val="17"/>
                <w:shd w:val="nil" w:color="auto" w:fill="auto"/>
                <w:rtl w:val="0"/>
                <w:lang w:val="en-US"/>
              </w:rPr>
              <w:t>BIRT och JasperReports.</w:t>
            </w:r>
          </w:p>
        </w:tc>
      </w:tr>
    </w:tbl>
    <w:p>
      <w:pPr>
        <w:pStyle w:val="Body"/>
        <w:widowControl w:val="0"/>
        <w:spacing w:line="240" w:lineRule="auto"/>
      </w:pPr>
      <w:r>
        <w:rPr>
          <w:rStyle w:val="None"/>
          <w:lang w:val="sv-SE"/>
        </w:rPr>
      </w:r>
    </w:p>
    <w:sectPr>
      <w:headerReference w:type="default" r:id="rId6"/>
      <w:footerReference w:type="default" r:id="rId7"/>
      <w:pgSz w:w="11900" w:h="16840" w:orient="portrait"/>
      <w:pgMar w:top="1916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bidi w:val="0"/>
      <w:ind w:left="0" w:right="0" w:firstLine="0"/>
      <w:jc w:val="center"/>
      <w:rPr>
        <w:b w:val="1"/>
        <w:bCs w:val="1"/>
        <w:outline w:val="0"/>
        <w:color w:val="ffffff"/>
        <w:sz w:val="16"/>
        <w:szCs w:val="16"/>
        <w:u w:color="ffffff"/>
        <w:shd w:val="nil" w:color="auto" w:fill="auto"/>
        <w:rtl w:val="0"/>
        <w:lang w:val="en-US"/>
        <w14:textFill>
          <w14:solidFill>
            <w14:srgbClr w14:val="FFFFFF"/>
          </w14:solidFill>
        </w14:textFill>
      </w:rPr>
    </w:pPr>
    <w:r>
      <w:rPr>
        <w:b w:val="0"/>
        <w:bCs w:val="0"/>
        <w:outline w:val="0"/>
        <w:color w:val="000000"/>
        <w:sz w:val="22"/>
        <w:szCs w:val="22"/>
        <w:u w:color="000000"/>
        <w14:textFill>
          <w14:solidFill>
            <w14:srgbClr w14:val="000000"/>
          </w14:solidFill>
        </w14:textFill>
      </w:rPr>
      <w:tab/>
      <w:tab/>
    </w:r>
    <w:r>
      <w:rPr>
        <w:b w:val="0"/>
        <w:bCs w:val="0"/>
        <w:outline w:val="0"/>
        <w:color w:val="000000"/>
        <w:sz w:val="22"/>
        <w:szCs w:val="22"/>
        <w:u w:color="000000"/>
        <w:shd w:val="nil" w:color="auto" w:fill="auto"/>
        <w:rtl w:val="0"/>
        <w:lang w:val="en-US"/>
        <w14:textFill>
          <w14:solidFill>
            <w14:srgbClr w14:val="000000"/>
          </w14:solidFill>
        </w14:textFill>
      </w:rPr>
      <w:t>Classification Level: Internal</w:t>
      <w:tab/>
      <w:tab/>
      <w:tab/>
    </w:r>
    <w:r>
      <w:rPr>
        <w:b w:val="1"/>
        <w:bCs w:val="1"/>
        <w:outline w:val="0"/>
        <w:color w:val="ffffff"/>
        <w:sz w:val="16"/>
        <w:szCs w:val="16"/>
        <w:u w:color="ffffff"/>
        <w:shd w:val="nil" w:color="auto" w:fill="auto"/>
        <w:lang w:val="en-US"/>
        <w14:textFill>
          <w14:solidFill>
            <w14:srgbClr w14:val="FFFFFF"/>
          </w14:solidFill>
        </w14:textFill>
      </w:rPr>
      <w:fldChar w:fldCharType="begin" w:fldLock="0"/>
    </w:r>
    <w:r>
      <w:rPr>
        <w:b w:val="1"/>
        <w:bCs w:val="1"/>
        <w:outline w:val="0"/>
        <w:color w:val="ffffff"/>
        <w:sz w:val="16"/>
        <w:szCs w:val="16"/>
        <w:u w:color="ffffff"/>
        <w:shd w:val="nil" w:color="auto" w:fill="auto"/>
        <w:lang w:val="en-US"/>
        <w14:textFill>
          <w14:solidFill>
            <w14:srgbClr w14:val="FFFFFF"/>
          </w14:solidFill>
        </w14:textFill>
      </w:rPr>
      <w:instrText xml:space="preserve"> PAGE </w:instrText>
    </w:r>
    <w:r>
      <w:rPr>
        <w:b w:val="1"/>
        <w:bCs w:val="1"/>
        <w:outline w:val="0"/>
        <w:color w:val="ffffff"/>
        <w:sz w:val="16"/>
        <w:szCs w:val="16"/>
        <w:u w:color="ffffff"/>
        <w:shd w:val="nil" w:color="auto" w:fill="auto"/>
        <w:lang w:val="en-US"/>
        <w14:textFill>
          <w14:solidFill>
            <w14:srgbClr w14:val="FFFFFF"/>
          </w14:solidFill>
        </w14:textFill>
      </w:rPr>
      <w:fldChar w:fldCharType="separate" w:fldLock="0"/>
    </w:r>
    <w:r>
      <w:rPr>
        <w:b w:val="1"/>
        <w:bCs w:val="1"/>
        <w:outline w:val="0"/>
        <w:color w:val="ffffff"/>
        <w:sz w:val="16"/>
        <w:szCs w:val="16"/>
        <w:u w:color="ffffff"/>
        <w:shd w:val="nil" w:color="auto" w:fill="auto"/>
        <w:lang w:val="en-US"/>
        <w14:textFill>
          <w14:solidFill>
            <w14:srgbClr w14:val="FFFFFF"/>
          </w14:solidFill>
        </w14:textFill>
      </w:rPr>
      <w:fldChar w:fldCharType="end" w:fldLock="0"/>
    </w:r>
    <w:r>
      <w:rPr>
        <w:b w:val="1"/>
        <w:bCs w:val="1"/>
        <w:outline w:val="0"/>
        <w:color w:val="ffffff"/>
        <w:sz w:val="16"/>
        <w:szCs w:val="16"/>
        <w:u w:color="ffffff"/>
        <w:shd w:val="nil" w:color="auto" w:fill="auto"/>
        <w:rtl w:val="0"/>
        <w:lang w:val="en-US"/>
        <w14:textFill>
          <w14:solidFill>
            <w14:srgbClr w14:val="FFFFFF"/>
          </w14:solidFill>
        </w14:textFill>
      </w:rPr>
      <w:t>/</w:t>
    </w:r>
    <w:r>
      <w:rPr>
        <w:b w:val="1"/>
        <w:bCs w:val="1"/>
        <w:outline w:val="0"/>
        <w:color w:val="ffffff"/>
        <w:sz w:val="16"/>
        <w:szCs w:val="16"/>
        <w:u w:color="ffffff"/>
        <w:shd w:val="nil" w:color="auto" w:fill="auto"/>
        <w:lang w:val="en-US"/>
        <w14:textFill>
          <w14:solidFill>
            <w14:srgbClr w14:val="FFFFFF"/>
          </w14:solidFill>
        </w14:textFill>
      </w:rPr>
      <w:fldChar w:fldCharType="begin" w:fldLock="0"/>
    </w:r>
    <w:r>
      <w:rPr>
        <w:b w:val="1"/>
        <w:bCs w:val="1"/>
        <w:outline w:val="0"/>
        <w:color w:val="ffffff"/>
        <w:sz w:val="16"/>
        <w:szCs w:val="16"/>
        <w:u w:color="ffffff"/>
        <w:shd w:val="nil" w:color="auto" w:fill="auto"/>
        <w:lang w:val="en-US"/>
        <w14:textFill>
          <w14:solidFill>
            <w14:srgbClr w14:val="FFFFFF"/>
          </w14:solidFill>
        </w14:textFill>
      </w:rPr>
      <w:instrText xml:space="preserve"> NUMPAGES </w:instrText>
    </w:r>
    <w:r>
      <w:rPr>
        <w:b w:val="1"/>
        <w:bCs w:val="1"/>
        <w:outline w:val="0"/>
        <w:color w:val="ffffff"/>
        <w:sz w:val="16"/>
        <w:szCs w:val="16"/>
        <w:u w:color="ffffff"/>
        <w:shd w:val="nil" w:color="auto" w:fill="auto"/>
        <w:lang w:val="en-US"/>
        <w14:textFill>
          <w14:solidFill>
            <w14:srgbClr w14:val="FFFFFF"/>
          </w14:solidFill>
        </w14:textFill>
      </w:rPr>
      <w:fldChar w:fldCharType="separate" w:fldLock="0"/>
    </w:r>
    <w:r>
      <w:rPr>
        <w:b w:val="1"/>
        <w:bCs w:val="1"/>
        <w:outline w:val="0"/>
        <w:color w:val="ffffff"/>
        <w:sz w:val="16"/>
        <w:szCs w:val="16"/>
        <w:u w:color="ffffff"/>
        <w:shd w:val="nil" w:color="auto" w:fill="auto"/>
        <w:lang w:val="en-US"/>
        <w14:textFill>
          <w14:solidFill>
            <w14:srgbClr w14:val="FFFFFF"/>
          </w14:solidFill>
        </w14:textFill>
      </w:rPr>
      <w:fldChar w:fldCharType="end" w:fldLock="0"/>
    </w:r>
  </w:p>
  <w:p>
    <w:pPr>
      <w:pStyle w:val="footer"/>
      <w:bidi w:val="0"/>
      <w:ind w:left="0" w:right="0" w:firstLine="0"/>
      <w:jc w:val="left"/>
      <w:rPr>
        <w:rtl w:val="0"/>
      </w:rPr>
    </w:pPr>
    <w:r>
      <w:rPr>
        <w:sz w:val="16"/>
        <w:szCs w:val="16"/>
        <w:shd w:val="nil" w:color="auto" w:fill="auto"/>
        <w:lang w:val="en-US"/>
      </w:rPr>
      <w:tab/>
      <w:tab/>
      <w:tab/>
      <w:tab/>
      <w:tab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itle A">
    <w:name w:val="Title A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5"/>
      <w:kern w:val="28"/>
      <w:position w:val="0"/>
      <w:sz w:val="52"/>
      <w:szCs w:val="5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sv-S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66b3"/>
      <w:u w:val="single" w:color="0066b3"/>
      <w14:textFill>
        <w14:solidFill>
          <w14:srgbClr w14:val="0066B3"/>
        </w14:solidFill>
      </w14:textFill>
    </w:rPr>
  </w:style>
  <w:style w:type="character" w:styleId="None">
    <w:name w:val="None"/>
  </w:style>
  <w:style w:type="character" w:styleId="Hyperlink.1">
    <w:name w:val="Hyperlink.1"/>
    <w:basedOn w:val="None"/>
    <w:next w:val="Hyperlink.1"/>
    <w:rPr>
      <w:b w:val="1"/>
      <w:bCs w:val="1"/>
      <w:outline w:val="0"/>
      <w:color w:val="0a66c1"/>
      <w14:textFill>
        <w14:solidFill>
          <w14:srgbClr w14:val="0A66C2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D53D20"/>
      </a:accent1>
      <a:accent2>
        <a:srgbClr val="E78E23"/>
      </a:accent2>
      <a:accent3>
        <a:srgbClr val="F6BC1C"/>
      </a:accent3>
      <a:accent4>
        <a:srgbClr val="DDDEDD"/>
      </a:accent4>
      <a:accent5>
        <a:srgbClr val="B2B3B2"/>
      </a:accent5>
      <a:accent6>
        <a:srgbClr val="4747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