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FFC3" w14:textId="7F8B9590" w:rsidR="005B434B" w:rsidRDefault="009E3813" w:rsidP="002F5B40">
      <w:pPr>
        <w:pStyle w:val="Titledocument"/>
      </w:pPr>
      <w:bookmarkStart w:id="0" w:name="_Hlk111131525"/>
      <w:bookmarkEnd w:id="0"/>
      <w:r>
        <w:t xml:space="preserve">FSA Funding </w:t>
      </w:r>
      <w:proofErr w:type="gramStart"/>
      <w:r>
        <w:t>For</w:t>
      </w:r>
      <w:proofErr w:type="gramEnd"/>
      <w:r>
        <w:t xml:space="preserve"> College Students</w:t>
      </w:r>
    </w:p>
    <w:p w14:paraId="41822446" w14:textId="09ABDD3A" w:rsidR="005B434B" w:rsidRDefault="009E3813" w:rsidP="005B434B">
      <w:pPr>
        <w:pStyle w:val="Subtitle"/>
      </w:pPr>
      <w:r>
        <w:t>Is FSA government funding reliable for students to depending on their education being funded?</w:t>
      </w:r>
    </w:p>
    <w:p w14:paraId="38B67430" w14:textId="49B7EAF6" w:rsidR="005B434B" w:rsidRPr="0029158F" w:rsidRDefault="009E3813" w:rsidP="005B434B">
      <w:pPr>
        <w:pStyle w:val="Authors"/>
        <w:rPr>
          <w:rFonts w:eastAsiaTheme="minorEastAsia"/>
          <w:caps w:val="0"/>
        </w:rPr>
      </w:pPr>
      <w:r>
        <w:rPr>
          <w:rFonts w:eastAsiaTheme="minorEastAsia"/>
          <w:caps w:val="0"/>
        </w:rPr>
        <w:t>Olivia, S, Moore</w:t>
      </w:r>
    </w:p>
    <w:p w14:paraId="4A941859" w14:textId="041EF0BA" w:rsidR="005B434B" w:rsidRPr="00E02C38" w:rsidRDefault="009E3813" w:rsidP="005B434B">
      <w:pPr>
        <w:pStyle w:val="Affiliation"/>
        <w:rPr>
          <w:rFonts w:eastAsiaTheme="minorEastAsia"/>
        </w:rPr>
      </w:pPr>
      <w:r>
        <w:rPr>
          <w:rFonts w:eastAsiaTheme="minorEastAsia"/>
        </w:rPr>
        <w:t>University of North Texas, oliviamoore@My.unt.edu</w:t>
      </w:r>
    </w:p>
    <w:p w14:paraId="1F32D666" w14:textId="77777777" w:rsidR="009E3813" w:rsidRDefault="009E3813" w:rsidP="005B434B">
      <w:pPr>
        <w:pStyle w:val="Abstract"/>
      </w:pPr>
    </w:p>
    <w:p w14:paraId="50A69685" w14:textId="70336BE7" w:rsidR="009E3813" w:rsidRPr="009E3813" w:rsidRDefault="009E3813" w:rsidP="005B434B">
      <w:pPr>
        <w:pStyle w:val="Abstract"/>
        <w:rPr>
          <w:sz w:val="20"/>
          <w:szCs w:val="26"/>
        </w:rPr>
      </w:pPr>
      <w:r w:rsidRPr="009E3813">
        <w:rPr>
          <w:sz w:val="20"/>
          <w:szCs w:val="26"/>
        </w:rPr>
        <w:t>Abstract</w:t>
      </w:r>
    </w:p>
    <w:p w14:paraId="5A49E45D" w14:textId="064D3155" w:rsidR="005B434B" w:rsidRPr="001D3CDD" w:rsidRDefault="009E3813" w:rsidP="005B434B">
      <w:pPr>
        <w:pStyle w:val="Abstract"/>
      </w:pPr>
      <w:r>
        <w:t xml:space="preserve">Many of Americans suffer from student loan debt. The government enacted the Financial Student Aid (FSA) to assists students in attending university, </w:t>
      </w:r>
      <w:proofErr w:type="gramStart"/>
      <w:r>
        <w:t>college</w:t>
      </w:r>
      <w:proofErr w:type="gramEnd"/>
      <w:r>
        <w:t xml:space="preserve"> or additional education. Students depend on the FSA awards to attend school. When that funding is inconsistent or not dependable it effects </w:t>
      </w:r>
      <w:proofErr w:type="gramStart"/>
      <w:r>
        <w:t>students</w:t>
      </w:r>
      <w:proofErr w:type="gramEnd"/>
      <w:r>
        <w:t xml:space="preserve"> ability to attend school or forces them to obtain student loans. In this study, the dependability and consistency of FSA awards is studied. We determine if students can depend on FSA awards and if FSA awards are efficient to help counteract student loans.</w:t>
      </w:r>
    </w:p>
    <w:p w14:paraId="5FCAA6EA" w14:textId="3E5418D9"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9E3813">
        <w:rPr>
          <w:b w:val="0"/>
        </w:rPr>
        <w:t xml:space="preserve">Financial Student Aid </w:t>
      </w:r>
      <w:proofErr w:type="gramStart"/>
      <w:r w:rsidR="009E3813" w:rsidRPr="00B25EC5">
        <w:rPr>
          <w:b w:val="0"/>
        </w:rPr>
        <w:t xml:space="preserve">• </w:t>
      </w:r>
      <w:r w:rsidRPr="00B25EC5">
        <w:rPr>
          <w:b w:val="0"/>
        </w:rPr>
        <w:t xml:space="preserve"> </w:t>
      </w:r>
      <w:r w:rsidR="009E3813">
        <w:rPr>
          <w:b w:val="0"/>
        </w:rPr>
        <w:t>FSA</w:t>
      </w:r>
      <w:proofErr w:type="gramEnd"/>
      <w:r w:rsidR="009E3813">
        <w:rPr>
          <w:b w:val="0"/>
        </w:rPr>
        <w:t xml:space="preserve"> </w:t>
      </w:r>
      <w:r w:rsidRPr="00B25EC5">
        <w:rPr>
          <w:b w:val="0"/>
        </w:rPr>
        <w:t xml:space="preserve"> •</w:t>
      </w:r>
      <w:r w:rsidR="009E3813">
        <w:rPr>
          <w:b w:val="0"/>
        </w:rPr>
        <w:t xml:space="preserve"> Student Loans</w:t>
      </w:r>
    </w:p>
    <w:p w14:paraId="7C7244C2" w14:textId="1F494761" w:rsidR="005B434B" w:rsidRPr="009E3813" w:rsidRDefault="005B434B" w:rsidP="005B434B">
      <w:pPr>
        <w:pStyle w:val="KeyWords"/>
        <w:rPr>
          <w:bCs/>
          <w:szCs w:val="18"/>
        </w:rPr>
      </w:pPr>
      <w:r>
        <w:rPr>
          <w:rStyle w:val="KeyWordHeadchar"/>
          <w:b/>
          <w:szCs w:val="18"/>
        </w:rPr>
        <w:t>Additional Keywords and Phrases</w:t>
      </w:r>
      <w:r w:rsidR="009E3813">
        <w:rPr>
          <w:rStyle w:val="KeyWordHeadchar"/>
          <w:b/>
          <w:szCs w:val="18"/>
        </w:rPr>
        <w:t xml:space="preserve">: </w:t>
      </w:r>
      <w:r w:rsidR="009E3813">
        <w:rPr>
          <w:rStyle w:val="KeyWordHeadchar"/>
          <w:bCs/>
          <w:szCs w:val="18"/>
        </w:rPr>
        <w:t>Government funding, University, Financial Aid</w:t>
      </w:r>
    </w:p>
    <w:p w14:paraId="46C4B9F1" w14:textId="77777777" w:rsidR="005B434B" w:rsidRPr="000723E6" w:rsidRDefault="005B434B" w:rsidP="005B434B">
      <w:pPr>
        <w:pStyle w:val="ACMRefHead"/>
      </w:pPr>
      <w:r w:rsidRPr="000723E6">
        <w:t>ACM Reference Format:</w:t>
      </w:r>
    </w:p>
    <w:p w14:paraId="041E28F2" w14:textId="4E557AA0" w:rsidR="005B434B" w:rsidRDefault="00E67CDE" w:rsidP="005B434B">
      <w:pPr>
        <w:pStyle w:val="ACMRef"/>
      </w:pPr>
      <w:r>
        <w:t>Olivia</w:t>
      </w:r>
      <w:r w:rsidR="005B434B">
        <w:t xml:space="preserve">, </w:t>
      </w:r>
      <w:r>
        <w:t>S</w:t>
      </w:r>
      <w:r w:rsidR="005B434B">
        <w:t xml:space="preserve">, </w:t>
      </w:r>
      <w:r>
        <w:t>Moore.</w:t>
      </w:r>
      <w:r w:rsidR="009E3813">
        <w:t xml:space="preserve"> </w:t>
      </w:r>
      <w:r w:rsidR="005B434B" w:rsidRPr="000723E6">
        <w:t xml:space="preserve"> 20</w:t>
      </w:r>
      <w:r w:rsidR="009E3813">
        <w:t>22</w:t>
      </w:r>
      <w:r w:rsidR="005B434B" w:rsidRPr="000723E6">
        <w:t xml:space="preserve">. </w:t>
      </w:r>
      <w:r w:rsidR="009E3813">
        <w:t>FSA funding for College Students</w:t>
      </w:r>
      <w:r w:rsidR="005B434B" w:rsidRPr="000723E6">
        <w:t xml:space="preserve">: </w:t>
      </w:r>
      <w:r w:rsidR="009E3813">
        <w:t xml:space="preserve">Is FSA government funding reliable for students attend college, </w:t>
      </w:r>
      <w:proofErr w:type="gramStart"/>
      <w:r w:rsidR="009E3813">
        <w:t>university</w:t>
      </w:r>
      <w:proofErr w:type="gramEnd"/>
      <w:r w:rsidR="009E3813">
        <w:t xml:space="preserve"> or additional schooling</w:t>
      </w:r>
      <w:r w:rsidR="005B434B" w:rsidRPr="000723E6">
        <w:t xml:space="preserve">. </w:t>
      </w:r>
    </w:p>
    <w:p w14:paraId="404E1AE0" w14:textId="0F69D98C" w:rsidR="009E3813" w:rsidRDefault="009E3813" w:rsidP="005B434B">
      <w:pPr>
        <w:pStyle w:val="ACMRef"/>
      </w:pPr>
    </w:p>
    <w:p w14:paraId="6ACB7EFD" w14:textId="1BD3936B" w:rsidR="009E3813" w:rsidRDefault="009E3813" w:rsidP="005B434B">
      <w:pPr>
        <w:pStyle w:val="ACMRef"/>
      </w:pPr>
    </w:p>
    <w:p w14:paraId="1ECB2BBE" w14:textId="59442935" w:rsidR="009E3813" w:rsidRDefault="009E3813" w:rsidP="005B434B">
      <w:pPr>
        <w:pStyle w:val="ACMRef"/>
      </w:pPr>
    </w:p>
    <w:p w14:paraId="26EDAF58" w14:textId="076C9BB0" w:rsidR="009E3813" w:rsidRDefault="009E3813" w:rsidP="005B434B">
      <w:pPr>
        <w:pStyle w:val="ACMRef"/>
      </w:pPr>
    </w:p>
    <w:p w14:paraId="6C9D64CF" w14:textId="6D314A0A" w:rsidR="009E3813" w:rsidRDefault="009E3813" w:rsidP="005B434B">
      <w:pPr>
        <w:pStyle w:val="ACMRef"/>
      </w:pPr>
    </w:p>
    <w:p w14:paraId="16F250C1" w14:textId="6910BDF9" w:rsidR="009E3813" w:rsidRDefault="009E3813" w:rsidP="005B434B">
      <w:pPr>
        <w:pStyle w:val="ACMRef"/>
      </w:pPr>
    </w:p>
    <w:p w14:paraId="4254ECB2" w14:textId="4F095070" w:rsidR="009E3813" w:rsidRDefault="009E3813" w:rsidP="005B434B">
      <w:pPr>
        <w:pStyle w:val="ACMRef"/>
      </w:pPr>
    </w:p>
    <w:p w14:paraId="335FC87B" w14:textId="7C9AF0D2" w:rsidR="009E3813" w:rsidRDefault="009E3813" w:rsidP="005B434B">
      <w:pPr>
        <w:pStyle w:val="ACMRef"/>
      </w:pPr>
    </w:p>
    <w:p w14:paraId="5F1595D5" w14:textId="5A21FBCC" w:rsidR="009E3813" w:rsidRDefault="009E3813" w:rsidP="005B434B">
      <w:pPr>
        <w:pStyle w:val="ACMRef"/>
      </w:pPr>
    </w:p>
    <w:p w14:paraId="64C59EC5" w14:textId="0C68C75B" w:rsidR="009E3813" w:rsidRDefault="009E3813" w:rsidP="005B434B">
      <w:pPr>
        <w:pStyle w:val="ACMRef"/>
      </w:pPr>
    </w:p>
    <w:p w14:paraId="2AB4B518" w14:textId="719414AF" w:rsidR="009E3813" w:rsidRDefault="009E3813" w:rsidP="005B434B">
      <w:pPr>
        <w:pStyle w:val="ACMRef"/>
      </w:pPr>
    </w:p>
    <w:p w14:paraId="58EA7BE7" w14:textId="77777777" w:rsidR="009E3813" w:rsidRDefault="009E3813" w:rsidP="005B434B">
      <w:pPr>
        <w:pStyle w:val="ACMRef"/>
      </w:pPr>
    </w:p>
    <w:p w14:paraId="57A15682" w14:textId="77777777" w:rsidR="009E3813" w:rsidRPr="000723E6" w:rsidRDefault="009E3813" w:rsidP="005B434B">
      <w:pPr>
        <w:pStyle w:val="ACMRef"/>
      </w:pPr>
    </w:p>
    <w:p w14:paraId="14158FF4" w14:textId="77777777" w:rsidR="005B434B" w:rsidRDefault="005B434B" w:rsidP="005B434B">
      <w:pPr>
        <w:pStyle w:val="Head1"/>
        <w:tabs>
          <w:tab w:val="clear" w:pos="360"/>
        </w:tabs>
        <w:ind w:left="432" w:hanging="432"/>
      </w:pPr>
      <w:r>
        <w:lastRenderedPageBreak/>
        <w:t>Introduction</w:t>
      </w:r>
    </w:p>
    <w:p w14:paraId="6CD6E50C" w14:textId="18257307" w:rsidR="00192FD6" w:rsidRDefault="00192FD6" w:rsidP="00192FD6">
      <w:pPr>
        <w:pStyle w:val="PostHeadPara"/>
      </w:pPr>
    </w:p>
    <w:p w14:paraId="26C7B09A" w14:textId="5356D634" w:rsidR="00192FD6" w:rsidRDefault="00192FD6" w:rsidP="00192FD6">
      <w:pPr>
        <w:pStyle w:val="PostHeadPara"/>
      </w:pPr>
      <w:r>
        <w:t xml:space="preserve">In 1965 the Federal Student Aid office was developed as part of the U.S. Department of Education. FSA supports students in the United States through grants, </w:t>
      </w:r>
      <w:proofErr w:type="gramStart"/>
      <w:r>
        <w:t>work-study</w:t>
      </w:r>
      <w:proofErr w:type="gramEnd"/>
      <w:r>
        <w:t xml:space="preserve"> and loan funds to attend college or career school (Federal Student Aid, 2022). FSA manages student financial assistance programs under Title IV and Higher Education Act of 1965 (Federal Student Aid, 2022). FSA is funded by federal tax dollars paid by U.S. taxpayers. FSA funding is decided by congress as part of their annual budget (</w:t>
      </w:r>
      <w:proofErr w:type="spellStart"/>
      <w:r>
        <w:t>Yager</w:t>
      </w:r>
      <w:proofErr w:type="spellEnd"/>
      <w:r>
        <w:t xml:space="preserve">, 2020). FSA awards different amounts to each type of school/recipient – private, public, </w:t>
      </w:r>
      <w:proofErr w:type="gramStart"/>
      <w:r>
        <w:t>proprietary</w:t>
      </w:r>
      <w:proofErr w:type="gramEnd"/>
      <w:r>
        <w:t xml:space="preserve"> and foreign. </w:t>
      </w:r>
    </w:p>
    <w:p w14:paraId="3B8AE56D" w14:textId="5EE64D55" w:rsidR="00192FD6" w:rsidRDefault="00192FD6" w:rsidP="00192FD6">
      <w:pPr>
        <w:pStyle w:val="PostHeadPara"/>
      </w:pPr>
      <w:r>
        <w:t>According to Education Data Institute, 43.3 billion people have federal student loan debt with the average loan being around $37,000 (Education Data Institute, 2022). The student loan debt in America totals to $1.76 trillion dollars (Education Data Institute, 2022). The U.S. government has a whole area of the U.S. Department of Education devoted to aiding students financially to attend college, yet so many citizens have substantial student loans.</w:t>
      </w:r>
      <w:r>
        <w:t xml:space="preserve"> </w:t>
      </w:r>
      <w:r w:rsidRPr="00192FD6">
        <w:t>In this study, the dependability and consistency of FSA awards is studied. We determine if students can depend on FSA awards and if FSA awards are efficient to help counteract student loans.</w:t>
      </w:r>
    </w:p>
    <w:p w14:paraId="7D4C6D91" w14:textId="250190C5" w:rsidR="005B434B" w:rsidRDefault="00192FD6" w:rsidP="005B434B">
      <w:pPr>
        <w:pStyle w:val="Head2"/>
        <w:tabs>
          <w:tab w:val="clear" w:pos="360"/>
        </w:tabs>
      </w:pPr>
      <w:r>
        <w:t>Purpose</w:t>
      </w:r>
    </w:p>
    <w:p w14:paraId="3DE2DC12" w14:textId="0FE35719" w:rsidR="005B434B" w:rsidRDefault="00192FD6" w:rsidP="00192FD6">
      <w:pPr>
        <w:pStyle w:val="PostHeadPara"/>
      </w:pPr>
      <w:r w:rsidRPr="00192FD6">
        <w:t>The purpose of this study is to discover if the changing amounts awarded annually by FSA is significant and how it effects the recipients.  It is important that financial aid is consistent to fund students’ education.  This study is important to future and current college and university attendees. FSA funding can change a students’ ability to attend school or pay off their student loans. Optimizing federal money to help citizens attend college or university could positively affect the future of the U.S.</w:t>
      </w:r>
    </w:p>
    <w:p w14:paraId="16C31E1B" w14:textId="25AA2956" w:rsidR="00192FD6" w:rsidRDefault="00192FD6" w:rsidP="00192FD6">
      <w:pPr>
        <w:pStyle w:val="Head1"/>
        <w:tabs>
          <w:tab w:val="clear" w:pos="360"/>
        </w:tabs>
        <w:ind w:left="432" w:hanging="432"/>
      </w:pPr>
      <w:r>
        <w:t>Content</w:t>
      </w:r>
    </w:p>
    <w:p w14:paraId="31294FDE" w14:textId="250C7A47" w:rsidR="00563BE8" w:rsidRDefault="00563BE8" w:rsidP="005B434B">
      <w:pPr>
        <w:pStyle w:val="Head2"/>
        <w:tabs>
          <w:tab w:val="clear" w:pos="360"/>
        </w:tabs>
      </w:pPr>
      <w:r>
        <w:t>Data Collection</w:t>
      </w:r>
    </w:p>
    <w:p w14:paraId="6EB4FF25" w14:textId="04E61B68" w:rsidR="00563BE8" w:rsidRPr="00563BE8" w:rsidRDefault="00563BE8" w:rsidP="00563BE8">
      <w:pPr>
        <w:pStyle w:val="Para"/>
        <w:ind w:firstLine="0"/>
        <w:rPr>
          <w:lang w:eastAsia="en-US"/>
        </w:rPr>
      </w:pPr>
      <w:r w:rsidRPr="00563BE8">
        <w:rPr>
          <w:lang w:eastAsia="en-US"/>
        </w:rPr>
        <w:t>Data was collected from FSA award reports from years 2011 – 2021. Data was cleaned by sorting through financial statements and determining the credit program receivables available each year. After, the data was cleaned by identifying outliers, inaccurate numerals and potential expanding the time frame.</w:t>
      </w:r>
    </w:p>
    <w:p w14:paraId="7FAF5894" w14:textId="538AB5F1" w:rsidR="00563BE8" w:rsidRDefault="00563BE8" w:rsidP="005B434B">
      <w:pPr>
        <w:pStyle w:val="Head2"/>
        <w:tabs>
          <w:tab w:val="clear" w:pos="360"/>
        </w:tabs>
      </w:pPr>
      <w:r>
        <w:t>Methodology</w:t>
      </w:r>
    </w:p>
    <w:p w14:paraId="0B72BBEA" w14:textId="39F43F5B" w:rsidR="00563BE8" w:rsidRPr="00563BE8" w:rsidRDefault="00563BE8" w:rsidP="00563BE8">
      <w:pPr>
        <w:pStyle w:val="Para"/>
        <w:ind w:firstLine="0"/>
        <w:rPr>
          <w:lang w:eastAsia="en-US"/>
        </w:rPr>
      </w:pPr>
      <w:r w:rsidRPr="00563BE8">
        <w:rPr>
          <w:lang w:eastAsia="en-US"/>
        </w:rPr>
        <w:t xml:space="preserve">Analyze each FSA award report from 2010 – 2021. Identify significant award differences and changes annually. </w:t>
      </w:r>
      <w:r>
        <w:rPr>
          <w:lang w:eastAsia="en-US"/>
        </w:rPr>
        <w:t xml:space="preserve">Determine standard deviation between each </w:t>
      </w:r>
      <w:proofErr w:type="gramStart"/>
      <w:r>
        <w:rPr>
          <w:lang w:eastAsia="en-US"/>
        </w:rPr>
        <w:t>amounts</w:t>
      </w:r>
      <w:proofErr w:type="gramEnd"/>
      <w:r>
        <w:rPr>
          <w:lang w:eastAsia="en-US"/>
        </w:rPr>
        <w:t xml:space="preserve"> to determine significant amount differences</w:t>
      </w:r>
      <w:r w:rsidRPr="00563BE8">
        <w:rPr>
          <w:lang w:eastAsia="en-US"/>
        </w:rPr>
        <w:t>. Identify attributes or factors to those significant differences if applicable. Correlate those factors to answer why there is more student loan now than ever.</w:t>
      </w:r>
    </w:p>
    <w:p w14:paraId="24B2289E" w14:textId="77777777" w:rsidR="00563BE8" w:rsidRDefault="00563BE8" w:rsidP="00563BE8">
      <w:pPr>
        <w:pStyle w:val="Head2"/>
        <w:numPr>
          <w:ilvl w:val="0"/>
          <w:numId w:val="0"/>
        </w:numPr>
        <w:ind w:left="360"/>
      </w:pPr>
    </w:p>
    <w:p w14:paraId="250B6C88" w14:textId="424F5E72" w:rsidR="00563BE8" w:rsidRDefault="00563BE8" w:rsidP="00563BE8">
      <w:pPr>
        <w:pStyle w:val="Head2"/>
        <w:numPr>
          <w:ilvl w:val="0"/>
          <w:numId w:val="0"/>
        </w:numPr>
      </w:pPr>
    </w:p>
    <w:p w14:paraId="79E7085D" w14:textId="2F38C688" w:rsidR="00563BE8" w:rsidRDefault="00563BE8" w:rsidP="00563BE8">
      <w:pPr>
        <w:pStyle w:val="Para"/>
        <w:rPr>
          <w:lang w:eastAsia="en-US"/>
        </w:rPr>
      </w:pPr>
    </w:p>
    <w:p w14:paraId="302514DE" w14:textId="77777777" w:rsidR="00563BE8" w:rsidRPr="00563BE8" w:rsidRDefault="00563BE8" w:rsidP="00563BE8">
      <w:pPr>
        <w:pStyle w:val="ParaContinue"/>
        <w:rPr>
          <w:lang w:eastAsia="en-US"/>
        </w:rPr>
      </w:pPr>
    </w:p>
    <w:p w14:paraId="0760A3E5" w14:textId="27774128" w:rsidR="005B434B" w:rsidRDefault="00192FD6" w:rsidP="005B434B">
      <w:pPr>
        <w:pStyle w:val="Head2"/>
        <w:tabs>
          <w:tab w:val="clear" w:pos="360"/>
        </w:tabs>
      </w:pPr>
      <w:r>
        <w:lastRenderedPageBreak/>
        <w:t>Credit Program Receivable Amounts annually</w:t>
      </w:r>
    </w:p>
    <w:p w14:paraId="45773AB4" w14:textId="3A81B55B" w:rsidR="00192FD6" w:rsidRPr="00192FD6" w:rsidRDefault="00192FD6" w:rsidP="00192FD6">
      <w:pPr>
        <w:pStyle w:val="Para"/>
        <w:ind w:firstLine="0"/>
        <w:rPr>
          <w:lang w:eastAsia="en-US"/>
        </w:rPr>
      </w:pPr>
      <w:r w:rsidRPr="00192FD6">
        <w:rPr>
          <w:lang w:eastAsia="en-US"/>
        </w:rPr>
        <w:t xml:space="preserve">The Credit Program Receivable for each year is the funding FSA has available to fun programs and scholarships. The credit program receivable funds programs such as TEACH Grants, FFEL Loans and Pell Grants (FSA, 2014). Below </w:t>
      </w:r>
      <w:proofErr w:type="gramStart"/>
      <w:r w:rsidRPr="00192FD6">
        <w:rPr>
          <w:lang w:eastAsia="en-US"/>
        </w:rPr>
        <w:t>are</w:t>
      </w:r>
      <w:proofErr w:type="gramEnd"/>
      <w:r w:rsidRPr="00192FD6">
        <w:rPr>
          <w:lang w:eastAsia="en-US"/>
        </w:rPr>
        <w:t xml:space="preserve"> the Credit Program Receivable amount for each respective year in millions of dollars.</w:t>
      </w:r>
      <w:r w:rsidRPr="00192FD6">
        <w:rPr>
          <w:noProof/>
        </w:rPr>
        <w:t xml:space="preserve"> </w:t>
      </w:r>
      <w:r w:rsidRPr="00192FD6">
        <w:rPr>
          <w:noProof/>
        </w:rPr>
        <w:t>The data displays the funding continuously increases each year until 2018. Funding decreases from 2019 – 2020.</w:t>
      </w:r>
    </w:p>
    <w:p w14:paraId="72FDB73B" w14:textId="4324365A" w:rsidR="00192FD6" w:rsidRDefault="00192FD6" w:rsidP="00563BE8">
      <w:pPr>
        <w:pStyle w:val="ParaContinue"/>
        <w:ind w:firstLine="0"/>
      </w:pPr>
    </w:p>
    <w:p w14:paraId="53567D10" w14:textId="5F45F309" w:rsidR="00192FD6" w:rsidRDefault="00563BE8" w:rsidP="00192FD6">
      <w:pPr>
        <w:pStyle w:val="ParaContinue"/>
      </w:pPr>
      <w:r>
        <w:rPr>
          <w:noProof/>
        </w:rPr>
        <w:drawing>
          <wp:anchor distT="0" distB="0" distL="114300" distR="114300" simplePos="0" relativeHeight="251658240" behindDoc="0" locked="0" layoutInCell="1" allowOverlap="1" wp14:anchorId="13BFCAAB" wp14:editId="49DA02C3">
            <wp:simplePos x="0" y="0"/>
            <wp:positionH relativeFrom="margin">
              <wp:posOffset>687705</wp:posOffset>
            </wp:positionH>
            <wp:positionV relativeFrom="paragraph">
              <wp:posOffset>52740</wp:posOffset>
            </wp:positionV>
            <wp:extent cx="4130211" cy="2283539"/>
            <wp:effectExtent l="0" t="0" r="3810" b="254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40E16D54" w14:textId="199E4ABD" w:rsidR="00192FD6" w:rsidRDefault="00192FD6" w:rsidP="00192FD6">
      <w:pPr>
        <w:pStyle w:val="ParaContinue"/>
      </w:pPr>
    </w:p>
    <w:p w14:paraId="68A5F013" w14:textId="40F80AAE" w:rsidR="00563BE8" w:rsidRDefault="00563BE8" w:rsidP="00192FD6">
      <w:pPr>
        <w:pStyle w:val="ParaContinue"/>
      </w:pPr>
    </w:p>
    <w:p w14:paraId="06BE7FC5" w14:textId="553851C7" w:rsidR="00563BE8" w:rsidRDefault="00563BE8" w:rsidP="00192FD6">
      <w:pPr>
        <w:pStyle w:val="ParaContinue"/>
      </w:pPr>
    </w:p>
    <w:p w14:paraId="6CA61562" w14:textId="3A8F457E" w:rsidR="00563BE8" w:rsidRDefault="00563BE8" w:rsidP="00192FD6">
      <w:pPr>
        <w:pStyle w:val="ParaContinue"/>
      </w:pPr>
    </w:p>
    <w:p w14:paraId="2569B40A" w14:textId="632C9F20" w:rsidR="00563BE8" w:rsidRDefault="00563BE8" w:rsidP="00192FD6">
      <w:pPr>
        <w:pStyle w:val="ParaContinue"/>
      </w:pPr>
    </w:p>
    <w:p w14:paraId="41E17102" w14:textId="00B9202A" w:rsidR="00563BE8" w:rsidRDefault="00563BE8" w:rsidP="00192FD6">
      <w:pPr>
        <w:pStyle w:val="ParaContinue"/>
      </w:pPr>
    </w:p>
    <w:p w14:paraId="591394D8" w14:textId="5F41F50A" w:rsidR="00563BE8" w:rsidRDefault="00563BE8" w:rsidP="00192FD6">
      <w:pPr>
        <w:pStyle w:val="ParaContinue"/>
      </w:pPr>
    </w:p>
    <w:p w14:paraId="00626C62" w14:textId="5AE4A6B8" w:rsidR="00563BE8" w:rsidRDefault="00563BE8" w:rsidP="00192FD6">
      <w:pPr>
        <w:pStyle w:val="ParaContinue"/>
      </w:pPr>
    </w:p>
    <w:p w14:paraId="10DCC6C0" w14:textId="00C176D1" w:rsidR="00563BE8" w:rsidRDefault="00563BE8" w:rsidP="00192FD6">
      <w:pPr>
        <w:pStyle w:val="ParaContinue"/>
      </w:pPr>
    </w:p>
    <w:p w14:paraId="18F7D2D8" w14:textId="766074AB" w:rsidR="00563BE8" w:rsidRDefault="00563BE8" w:rsidP="00192FD6">
      <w:pPr>
        <w:pStyle w:val="ParaContinue"/>
      </w:pPr>
    </w:p>
    <w:p w14:paraId="6D68C568" w14:textId="676A23FC" w:rsidR="00563BE8" w:rsidRDefault="00563BE8" w:rsidP="00192FD6">
      <w:pPr>
        <w:pStyle w:val="ParaContinue"/>
      </w:pPr>
    </w:p>
    <w:p w14:paraId="6DF36877" w14:textId="77777777" w:rsidR="00563BE8" w:rsidRDefault="00563BE8" w:rsidP="00192FD6">
      <w:pPr>
        <w:pStyle w:val="ParaContinue"/>
      </w:pPr>
    </w:p>
    <w:p w14:paraId="6C920CAB" w14:textId="2D1A3228" w:rsidR="00192FD6" w:rsidRPr="00192FD6" w:rsidRDefault="00192FD6" w:rsidP="00192FD6">
      <w:pPr>
        <w:pStyle w:val="ParaContinue"/>
      </w:pPr>
    </w:p>
    <w:p w14:paraId="3A44931A" w14:textId="27C643BA" w:rsidR="00192FD6" w:rsidRDefault="00192FD6" w:rsidP="005B434B">
      <w:pPr>
        <w:pStyle w:val="Head2"/>
        <w:tabs>
          <w:tab w:val="clear" w:pos="360"/>
        </w:tabs>
      </w:pPr>
      <w:r>
        <w:t>Credit Program Receivable amounts annually</w:t>
      </w:r>
    </w:p>
    <w:p w14:paraId="6A272D1B" w14:textId="7E1D048D" w:rsidR="00192FD6" w:rsidRPr="00192FD6" w:rsidRDefault="00192FD6" w:rsidP="00192FD6">
      <w:pPr>
        <w:pStyle w:val="Head2"/>
        <w:numPr>
          <w:ilvl w:val="0"/>
          <w:numId w:val="0"/>
        </w:numPr>
        <w:ind w:left="360"/>
        <w:rPr>
          <w:b w:val="0"/>
          <w:bCs w:val="0"/>
        </w:rPr>
      </w:pPr>
      <w:r w:rsidRPr="00192FD6">
        <w:rPr>
          <w:b w:val="0"/>
          <w:bCs w:val="0"/>
        </w:rPr>
        <w:t>The chart displays the amount of Credit Program Receivable in millions for each year. The arrows signify an increase or decrease in funding.</w:t>
      </w:r>
    </w:p>
    <w:tbl>
      <w:tblPr>
        <w:tblStyle w:val="TableGrid"/>
        <w:tblpPr w:leftFromText="180" w:rightFromText="180" w:vertAnchor="text" w:horzAnchor="margin" w:tblpY="357"/>
        <w:tblW w:w="0" w:type="auto"/>
        <w:tblLook w:val="04A0" w:firstRow="1" w:lastRow="0" w:firstColumn="1" w:lastColumn="0" w:noHBand="0" w:noVBand="1"/>
      </w:tblPr>
      <w:tblGrid>
        <w:gridCol w:w="2894"/>
        <w:gridCol w:w="3817"/>
        <w:gridCol w:w="2039"/>
      </w:tblGrid>
      <w:tr w:rsidR="00192FD6" w14:paraId="2AFA3F12" w14:textId="77777777" w:rsidTr="00073B99">
        <w:tc>
          <w:tcPr>
            <w:tcW w:w="3116" w:type="dxa"/>
          </w:tcPr>
          <w:p w14:paraId="42FD6A4E"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Year</w:t>
            </w:r>
          </w:p>
        </w:tc>
        <w:tc>
          <w:tcPr>
            <w:tcW w:w="4079" w:type="dxa"/>
          </w:tcPr>
          <w:p w14:paraId="0EE4147F"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Credit Program Receivable (in millions)</w:t>
            </w:r>
          </w:p>
        </w:tc>
        <w:tc>
          <w:tcPr>
            <w:tcW w:w="2155" w:type="dxa"/>
          </w:tcPr>
          <w:p w14:paraId="5EF2FDAA" w14:textId="77777777" w:rsidR="00192FD6" w:rsidRPr="00DE6382" w:rsidRDefault="00192FD6" w:rsidP="00073B99">
            <w:pPr>
              <w:rPr>
                <w:rFonts w:ascii="Calibri" w:eastAsia="Times New Roman" w:hAnsi="Calibri" w:cs="Calibri"/>
                <w:color w:val="000000"/>
                <w:sz w:val="24"/>
                <w:szCs w:val="24"/>
              </w:rPr>
            </w:pPr>
            <w:r w:rsidRPr="00563BE8">
              <w:rPr>
                <w:rFonts w:ascii="Calibri" w:eastAsia="Times New Roman" w:hAnsi="Calibri" w:cs="Calibri"/>
                <w:color w:val="000000"/>
                <w:sz w:val="18"/>
                <w:szCs w:val="18"/>
              </w:rPr>
              <w:t xml:space="preserve"> % </w:t>
            </w:r>
            <w:proofErr w:type="gramStart"/>
            <w:r w:rsidRPr="00563BE8">
              <w:rPr>
                <w:rFonts w:ascii="Calibri" w:eastAsia="Times New Roman" w:hAnsi="Calibri" w:cs="Calibri"/>
                <w:color w:val="000000"/>
                <w:sz w:val="18"/>
                <w:szCs w:val="18"/>
              </w:rPr>
              <w:t>funding</w:t>
            </w:r>
            <w:proofErr w:type="gramEnd"/>
            <w:r w:rsidRPr="00563BE8">
              <w:rPr>
                <w:rFonts w:ascii="Calibri" w:eastAsia="Times New Roman" w:hAnsi="Calibri" w:cs="Calibri"/>
                <w:color w:val="000000"/>
                <w:sz w:val="18"/>
                <w:szCs w:val="18"/>
              </w:rPr>
              <w:t xml:space="preserve"> change from previous year</w:t>
            </w:r>
          </w:p>
        </w:tc>
      </w:tr>
      <w:tr w:rsidR="00192FD6" w14:paraId="775D19C8" w14:textId="77777777" w:rsidTr="00073B99">
        <w:tc>
          <w:tcPr>
            <w:tcW w:w="3116" w:type="dxa"/>
          </w:tcPr>
          <w:p w14:paraId="5D5266FC"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2021</w:t>
            </w:r>
          </w:p>
        </w:tc>
        <w:tc>
          <w:tcPr>
            <w:tcW w:w="4079" w:type="dxa"/>
          </w:tcPr>
          <w:p w14:paraId="3D45BC65"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$1,246,140</w:t>
            </w:r>
          </w:p>
        </w:tc>
        <w:tc>
          <w:tcPr>
            <w:tcW w:w="2155" w:type="dxa"/>
          </w:tcPr>
          <w:p w14:paraId="37594948" w14:textId="77777777" w:rsidR="00192FD6" w:rsidRPr="00563BE8" w:rsidRDefault="00192FD6" w:rsidP="00073B99">
            <w:pPr>
              <w:rPr>
                <w:rFonts w:ascii="Calibri" w:eastAsia="Times New Roman" w:hAnsi="Calibri" w:cs="Calibri"/>
                <w:color w:val="000000"/>
                <w:sz w:val="18"/>
                <w:szCs w:val="18"/>
              </w:rPr>
            </w:pPr>
            <w:r w:rsidRPr="00563BE8">
              <w:rPr>
                <w:rFonts w:ascii="Calibri" w:eastAsia="Times New Roman" w:hAnsi="Calibri" w:cs="Calibri"/>
                <w:color w:val="000000"/>
                <w:sz w:val="18"/>
                <w:szCs w:val="18"/>
              </w:rPr>
              <w:t xml:space="preserve">99% </w:t>
            </w:r>
            <w:r w:rsidRPr="00563BE8">
              <w:rPr>
                <w:rStyle w:val="emoji"/>
                <w:rFonts w:ascii="Segoe UI Emoji" w:hAnsi="Segoe UI Emoji"/>
                <w:color w:val="000000"/>
                <w:sz w:val="18"/>
                <w:szCs w:val="18"/>
                <w:bdr w:val="none" w:sz="0" w:space="0" w:color="auto" w:frame="1"/>
              </w:rPr>
              <w:t>⬆️</w:t>
            </w:r>
          </w:p>
        </w:tc>
      </w:tr>
      <w:tr w:rsidR="00192FD6" w14:paraId="42FD0204" w14:textId="77777777" w:rsidTr="00073B99">
        <w:tc>
          <w:tcPr>
            <w:tcW w:w="3116" w:type="dxa"/>
          </w:tcPr>
          <w:p w14:paraId="49B30A90"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2020</w:t>
            </w:r>
          </w:p>
        </w:tc>
        <w:tc>
          <w:tcPr>
            <w:tcW w:w="4079" w:type="dxa"/>
          </w:tcPr>
          <w:p w14:paraId="74A9085B"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$1,242,051</w:t>
            </w:r>
          </w:p>
        </w:tc>
        <w:tc>
          <w:tcPr>
            <w:tcW w:w="2155" w:type="dxa"/>
          </w:tcPr>
          <w:p w14:paraId="13B2874B" w14:textId="77777777" w:rsidR="00192FD6" w:rsidRPr="00563BE8" w:rsidRDefault="00192FD6" w:rsidP="00073B99">
            <w:pPr>
              <w:rPr>
                <w:rFonts w:ascii="Calibri" w:eastAsia="Times New Roman" w:hAnsi="Calibri" w:cs="Calibri"/>
                <w:color w:val="000000"/>
                <w:sz w:val="18"/>
                <w:szCs w:val="18"/>
              </w:rPr>
            </w:pPr>
            <w:r w:rsidRPr="00563BE8">
              <w:rPr>
                <w:rFonts w:ascii="Calibri" w:eastAsia="Times New Roman" w:hAnsi="Calibri" w:cs="Calibri"/>
                <w:color w:val="000000"/>
                <w:sz w:val="18"/>
                <w:szCs w:val="18"/>
              </w:rPr>
              <w:t xml:space="preserve">-1% </w:t>
            </w:r>
            <w:r w:rsidRPr="00563BE8">
              <w:rPr>
                <w:rStyle w:val="emoji-icon-wrap"/>
                <w:rFonts w:ascii="none" w:hAnsi="none"/>
                <w:color w:val="333333"/>
                <w:sz w:val="18"/>
                <w:szCs w:val="18"/>
                <w:bdr w:val="none" w:sz="0" w:space="0" w:color="auto" w:frame="1"/>
              </w:rPr>
              <w:t>⬇️</w:t>
            </w:r>
            <w:r w:rsidRPr="00563BE8">
              <w:rPr>
                <w:rFonts w:ascii="Arial" w:hAnsi="Arial" w:cs="Arial"/>
                <w:color w:val="333333"/>
                <w:sz w:val="18"/>
                <w:szCs w:val="18"/>
              </w:rPr>
              <w:t> </w:t>
            </w:r>
          </w:p>
        </w:tc>
      </w:tr>
      <w:tr w:rsidR="00192FD6" w14:paraId="728ECA99" w14:textId="77777777" w:rsidTr="00073B99">
        <w:tc>
          <w:tcPr>
            <w:tcW w:w="3116" w:type="dxa"/>
          </w:tcPr>
          <w:p w14:paraId="7F432F03"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2019</w:t>
            </w:r>
          </w:p>
        </w:tc>
        <w:tc>
          <w:tcPr>
            <w:tcW w:w="4079" w:type="dxa"/>
          </w:tcPr>
          <w:p w14:paraId="4F6F84F1"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$1,266,876</w:t>
            </w:r>
          </w:p>
        </w:tc>
        <w:tc>
          <w:tcPr>
            <w:tcW w:w="2155" w:type="dxa"/>
          </w:tcPr>
          <w:p w14:paraId="044BFF53" w14:textId="77777777" w:rsidR="00192FD6" w:rsidRPr="00563BE8" w:rsidRDefault="00192FD6" w:rsidP="00073B99">
            <w:pPr>
              <w:rPr>
                <w:rFonts w:ascii="Calibri" w:eastAsia="Times New Roman" w:hAnsi="Calibri" w:cs="Calibri"/>
                <w:color w:val="000000"/>
                <w:sz w:val="18"/>
                <w:szCs w:val="18"/>
              </w:rPr>
            </w:pPr>
            <w:r w:rsidRPr="00563BE8">
              <w:rPr>
                <w:rFonts w:ascii="Calibri" w:eastAsia="Times New Roman" w:hAnsi="Calibri" w:cs="Calibri"/>
                <w:color w:val="000000"/>
                <w:sz w:val="18"/>
                <w:szCs w:val="18"/>
              </w:rPr>
              <w:t xml:space="preserve">-1% </w:t>
            </w:r>
            <w:r w:rsidRPr="00563BE8">
              <w:rPr>
                <w:rStyle w:val="emoji-icon-wrap"/>
                <w:rFonts w:ascii="none" w:hAnsi="none"/>
                <w:color w:val="333333"/>
                <w:sz w:val="18"/>
                <w:szCs w:val="18"/>
                <w:bdr w:val="none" w:sz="0" w:space="0" w:color="auto" w:frame="1"/>
              </w:rPr>
              <w:t>⬇️</w:t>
            </w:r>
            <w:r w:rsidRPr="00563BE8">
              <w:rPr>
                <w:rFonts w:ascii="Arial" w:hAnsi="Arial" w:cs="Arial"/>
                <w:color w:val="333333"/>
                <w:sz w:val="18"/>
                <w:szCs w:val="18"/>
              </w:rPr>
              <w:t> </w:t>
            </w:r>
          </w:p>
        </w:tc>
      </w:tr>
      <w:tr w:rsidR="00192FD6" w14:paraId="23051F76" w14:textId="77777777" w:rsidTr="00073B99">
        <w:tc>
          <w:tcPr>
            <w:tcW w:w="3116" w:type="dxa"/>
          </w:tcPr>
          <w:p w14:paraId="6AFF394E"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2018</w:t>
            </w:r>
          </w:p>
        </w:tc>
        <w:tc>
          <w:tcPr>
            <w:tcW w:w="4079" w:type="dxa"/>
          </w:tcPr>
          <w:p w14:paraId="5C464A90"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$1,285,265</w:t>
            </w:r>
          </w:p>
        </w:tc>
        <w:tc>
          <w:tcPr>
            <w:tcW w:w="2155" w:type="dxa"/>
          </w:tcPr>
          <w:p w14:paraId="0FA75F71" w14:textId="77777777" w:rsidR="00192FD6" w:rsidRPr="00563BE8" w:rsidRDefault="00192FD6" w:rsidP="00073B99">
            <w:pPr>
              <w:rPr>
                <w:rFonts w:ascii="Calibri" w:eastAsia="Times New Roman" w:hAnsi="Calibri" w:cs="Calibri"/>
                <w:color w:val="000000"/>
                <w:sz w:val="18"/>
                <w:szCs w:val="18"/>
              </w:rPr>
            </w:pPr>
            <w:r w:rsidRPr="00563BE8">
              <w:rPr>
                <w:rFonts w:ascii="Calibri" w:eastAsia="Times New Roman" w:hAnsi="Calibri" w:cs="Calibri"/>
                <w:color w:val="000000"/>
                <w:sz w:val="18"/>
                <w:szCs w:val="18"/>
              </w:rPr>
              <w:t xml:space="preserve">95% </w:t>
            </w:r>
            <w:r w:rsidRPr="00563BE8">
              <w:rPr>
                <w:rStyle w:val="emoji"/>
                <w:rFonts w:ascii="Segoe UI Emoji" w:hAnsi="Segoe UI Emoji"/>
                <w:color w:val="000000"/>
                <w:sz w:val="18"/>
                <w:szCs w:val="18"/>
                <w:bdr w:val="none" w:sz="0" w:space="0" w:color="auto" w:frame="1"/>
              </w:rPr>
              <w:t>⬆️</w:t>
            </w:r>
          </w:p>
        </w:tc>
      </w:tr>
      <w:tr w:rsidR="00192FD6" w14:paraId="4D1D1E06" w14:textId="77777777" w:rsidTr="00073B99">
        <w:tc>
          <w:tcPr>
            <w:tcW w:w="3116" w:type="dxa"/>
          </w:tcPr>
          <w:p w14:paraId="1694A831"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2017</w:t>
            </w:r>
          </w:p>
        </w:tc>
        <w:tc>
          <w:tcPr>
            <w:tcW w:w="4079" w:type="dxa"/>
          </w:tcPr>
          <w:p w14:paraId="60052DB9"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$1,221,694</w:t>
            </w:r>
          </w:p>
        </w:tc>
        <w:tc>
          <w:tcPr>
            <w:tcW w:w="2155" w:type="dxa"/>
          </w:tcPr>
          <w:p w14:paraId="41B80ED0" w14:textId="77777777" w:rsidR="00192FD6" w:rsidRPr="00563BE8" w:rsidRDefault="00192FD6" w:rsidP="00073B99">
            <w:pPr>
              <w:rPr>
                <w:rFonts w:ascii="Calibri" w:eastAsia="Times New Roman" w:hAnsi="Calibri" w:cs="Calibri"/>
                <w:color w:val="000000"/>
                <w:sz w:val="18"/>
                <w:szCs w:val="18"/>
              </w:rPr>
            </w:pPr>
            <w:r w:rsidRPr="00563BE8">
              <w:rPr>
                <w:rFonts w:ascii="Calibri" w:eastAsia="Times New Roman" w:hAnsi="Calibri" w:cs="Calibri"/>
                <w:color w:val="000000"/>
                <w:sz w:val="18"/>
                <w:szCs w:val="18"/>
              </w:rPr>
              <w:t>93%</w:t>
            </w:r>
            <w:r w:rsidRPr="00563BE8">
              <w:rPr>
                <w:rStyle w:val="emoji"/>
                <w:rFonts w:ascii="Segoe UI Emoji" w:hAnsi="Segoe UI Emoji"/>
                <w:color w:val="000000"/>
                <w:sz w:val="18"/>
                <w:szCs w:val="18"/>
                <w:bdr w:val="none" w:sz="0" w:space="0" w:color="auto" w:frame="1"/>
              </w:rPr>
              <w:t>⬆️</w:t>
            </w:r>
          </w:p>
        </w:tc>
      </w:tr>
      <w:tr w:rsidR="00192FD6" w14:paraId="7B7B90B3" w14:textId="77777777" w:rsidTr="00073B99">
        <w:tc>
          <w:tcPr>
            <w:tcW w:w="3116" w:type="dxa"/>
          </w:tcPr>
          <w:p w14:paraId="7115AB90"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2016</w:t>
            </w:r>
          </w:p>
        </w:tc>
        <w:tc>
          <w:tcPr>
            <w:tcW w:w="4079" w:type="dxa"/>
          </w:tcPr>
          <w:p w14:paraId="676395EB"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$1,136,919</w:t>
            </w:r>
          </w:p>
        </w:tc>
        <w:tc>
          <w:tcPr>
            <w:tcW w:w="2155" w:type="dxa"/>
          </w:tcPr>
          <w:p w14:paraId="727B33B5" w14:textId="77777777" w:rsidR="00192FD6" w:rsidRPr="00563BE8" w:rsidRDefault="00192FD6" w:rsidP="00073B99">
            <w:pPr>
              <w:rPr>
                <w:rFonts w:ascii="Calibri" w:eastAsia="Times New Roman" w:hAnsi="Calibri" w:cs="Calibri"/>
                <w:color w:val="000000"/>
                <w:sz w:val="18"/>
                <w:szCs w:val="18"/>
              </w:rPr>
            </w:pPr>
            <w:r w:rsidRPr="00563BE8">
              <w:rPr>
                <w:rFonts w:ascii="Calibri" w:eastAsia="Times New Roman" w:hAnsi="Calibri" w:cs="Calibri"/>
                <w:color w:val="000000"/>
                <w:sz w:val="18"/>
                <w:szCs w:val="18"/>
              </w:rPr>
              <w:t xml:space="preserve">96% </w:t>
            </w:r>
            <w:r w:rsidRPr="00563BE8">
              <w:rPr>
                <w:rStyle w:val="emoji"/>
                <w:rFonts w:ascii="Segoe UI Emoji" w:hAnsi="Segoe UI Emoji"/>
                <w:color w:val="000000"/>
                <w:sz w:val="18"/>
                <w:szCs w:val="18"/>
                <w:bdr w:val="none" w:sz="0" w:space="0" w:color="auto" w:frame="1"/>
              </w:rPr>
              <w:t>⬆️</w:t>
            </w:r>
          </w:p>
        </w:tc>
      </w:tr>
      <w:tr w:rsidR="00192FD6" w14:paraId="45D95D92" w14:textId="77777777" w:rsidTr="00073B99">
        <w:tc>
          <w:tcPr>
            <w:tcW w:w="3116" w:type="dxa"/>
          </w:tcPr>
          <w:p w14:paraId="4E6B1D3C"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2015</w:t>
            </w:r>
          </w:p>
        </w:tc>
        <w:tc>
          <w:tcPr>
            <w:tcW w:w="4079" w:type="dxa"/>
          </w:tcPr>
          <w:p w14:paraId="7E4D6A86"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$1,086,058</w:t>
            </w:r>
          </w:p>
        </w:tc>
        <w:tc>
          <w:tcPr>
            <w:tcW w:w="2155" w:type="dxa"/>
          </w:tcPr>
          <w:p w14:paraId="7AFC8DD0" w14:textId="77777777" w:rsidR="00192FD6" w:rsidRPr="00563BE8" w:rsidRDefault="00192FD6" w:rsidP="00073B99">
            <w:pPr>
              <w:rPr>
                <w:rFonts w:ascii="Calibri" w:eastAsia="Times New Roman" w:hAnsi="Calibri" w:cs="Calibri"/>
                <w:color w:val="000000"/>
                <w:sz w:val="18"/>
                <w:szCs w:val="18"/>
              </w:rPr>
            </w:pPr>
            <w:r w:rsidRPr="00563BE8">
              <w:rPr>
                <w:rFonts w:ascii="Calibri" w:eastAsia="Times New Roman" w:hAnsi="Calibri" w:cs="Calibri"/>
                <w:color w:val="000000"/>
                <w:sz w:val="18"/>
                <w:szCs w:val="18"/>
              </w:rPr>
              <w:t xml:space="preserve">85% </w:t>
            </w:r>
            <w:r w:rsidRPr="00563BE8">
              <w:rPr>
                <w:rStyle w:val="emoji"/>
                <w:rFonts w:ascii="Segoe UI Emoji" w:hAnsi="Segoe UI Emoji"/>
                <w:color w:val="000000"/>
                <w:sz w:val="18"/>
                <w:szCs w:val="18"/>
                <w:bdr w:val="none" w:sz="0" w:space="0" w:color="auto" w:frame="1"/>
              </w:rPr>
              <w:t>⬆️</w:t>
            </w:r>
          </w:p>
        </w:tc>
      </w:tr>
      <w:tr w:rsidR="00192FD6" w14:paraId="4A5F538A" w14:textId="77777777" w:rsidTr="00073B99">
        <w:tc>
          <w:tcPr>
            <w:tcW w:w="3116" w:type="dxa"/>
          </w:tcPr>
          <w:p w14:paraId="3EE7915E"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2014</w:t>
            </w:r>
          </w:p>
        </w:tc>
        <w:tc>
          <w:tcPr>
            <w:tcW w:w="4079" w:type="dxa"/>
          </w:tcPr>
          <w:p w14:paraId="54C08921" w14:textId="77777777" w:rsidR="00192FD6" w:rsidRDefault="00192FD6" w:rsidP="00073B99">
            <w:pPr>
              <w:rPr>
                <w:rFonts w:ascii="Calibri" w:hAnsi="Calibri" w:cs="Calibri"/>
                <w:color w:val="000000"/>
              </w:rPr>
            </w:pPr>
            <w:r>
              <w:rPr>
                <w:rFonts w:ascii="Calibri" w:hAnsi="Calibri" w:cs="Calibri"/>
                <w:color w:val="000000"/>
              </w:rPr>
              <w:t>$922,418</w:t>
            </w:r>
          </w:p>
          <w:p w14:paraId="7959A9DA" w14:textId="77777777" w:rsidR="00192FD6" w:rsidRDefault="00192FD6" w:rsidP="00073B99">
            <w:pPr>
              <w:rPr>
                <w:rFonts w:ascii="Calibri" w:eastAsia="Times New Roman" w:hAnsi="Calibri" w:cs="Calibri"/>
                <w:color w:val="000000"/>
              </w:rPr>
            </w:pPr>
          </w:p>
        </w:tc>
        <w:tc>
          <w:tcPr>
            <w:tcW w:w="2155" w:type="dxa"/>
          </w:tcPr>
          <w:p w14:paraId="7FD5FB7D" w14:textId="77777777" w:rsidR="00192FD6" w:rsidRPr="00563BE8" w:rsidRDefault="00192FD6" w:rsidP="00073B99">
            <w:pPr>
              <w:pStyle w:val="Heading1"/>
              <w:spacing w:before="0"/>
              <w:textAlignment w:val="baseline"/>
              <w:outlineLvl w:val="0"/>
              <w:rPr>
                <w:rFonts w:ascii="Helvetica" w:hAnsi="Helvetica"/>
                <w:b/>
                <w:bCs/>
                <w:color w:val="000000"/>
                <w:sz w:val="18"/>
                <w:szCs w:val="18"/>
              </w:rPr>
            </w:pPr>
            <w:r w:rsidRPr="00563BE8">
              <w:rPr>
                <w:rFonts w:ascii="Calibri" w:hAnsi="Calibri" w:cs="Calibri"/>
                <w:color w:val="000000"/>
                <w:sz w:val="18"/>
                <w:szCs w:val="18"/>
              </w:rPr>
              <w:t>97%</w:t>
            </w:r>
            <w:r w:rsidRPr="00563BE8">
              <w:rPr>
                <w:rStyle w:val="emoji"/>
                <w:rFonts w:ascii="Segoe UI Emoji" w:hAnsi="Segoe UI Emoji"/>
                <w:color w:val="000000"/>
                <w:sz w:val="18"/>
                <w:szCs w:val="18"/>
                <w:bdr w:val="none" w:sz="0" w:space="0" w:color="auto" w:frame="1"/>
              </w:rPr>
              <w:t>⬆️</w:t>
            </w:r>
            <w:r w:rsidRPr="00563BE8">
              <w:rPr>
                <w:rFonts w:ascii="Helvetica" w:hAnsi="Helvetica"/>
                <w:color w:val="000000"/>
                <w:sz w:val="18"/>
                <w:szCs w:val="18"/>
              </w:rPr>
              <w:t> </w:t>
            </w:r>
          </w:p>
          <w:p w14:paraId="4F1DEECF" w14:textId="77777777" w:rsidR="00192FD6" w:rsidRPr="00563BE8" w:rsidRDefault="00192FD6" w:rsidP="00073B99">
            <w:pPr>
              <w:rPr>
                <w:rFonts w:ascii="Calibri" w:eastAsia="Times New Roman" w:hAnsi="Calibri" w:cs="Calibri"/>
                <w:color w:val="000000"/>
                <w:sz w:val="18"/>
                <w:szCs w:val="18"/>
              </w:rPr>
            </w:pPr>
          </w:p>
        </w:tc>
      </w:tr>
      <w:tr w:rsidR="00192FD6" w14:paraId="68DFCD22" w14:textId="77777777" w:rsidTr="00073B99">
        <w:tc>
          <w:tcPr>
            <w:tcW w:w="3116" w:type="dxa"/>
          </w:tcPr>
          <w:p w14:paraId="4614B4E4"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2013</w:t>
            </w:r>
          </w:p>
        </w:tc>
        <w:tc>
          <w:tcPr>
            <w:tcW w:w="4079" w:type="dxa"/>
          </w:tcPr>
          <w:p w14:paraId="236C6DEA"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$897,245</w:t>
            </w:r>
          </w:p>
        </w:tc>
        <w:tc>
          <w:tcPr>
            <w:tcW w:w="2155" w:type="dxa"/>
          </w:tcPr>
          <w:p w14:paraId="11C170BE" w14:textId="77777777" w:rsidR="00192FD6" w:rsidRPr="00563BE8" w:rsidRDefault="00192FD6" w:rsidP="00073B99">
            <w:pPr>
              <w:pStyle w:val="Heading1"/>
              <w:spacing w:before="0"/>
              <w:textAlignment w:val="baseline"/>
              <w:outlineLvl w:val="0"/>
              <w:rPr>
                <w:rFonts w:ascii="Helvetica" w:hAnsi="Helvetica"/>
                <w:b/>
                <w:bCs/>
                <w:color w:val="000000"/>
                <w:sz w:val="18"/>
                <w:szCs w:val="18"/>
              </w:rPr>
            </w:pPr>
            <w:r w:rsidRPr="00563BE8">
              <w:rPr>
                <w:rFonts w:ascii="Calibri" w:hAnsi="Calibri" w:cs="Calibri"/>
                <w:color w:val="000000"/>
                <w:sz w:val="18"/>
                <w:szCs w:val="18"/>
              </w:rPr>
              <w:t>84%</w:t>
            </w:r>
            <w:r w:rsidRPr="00563BE8">
              <w:rPr>
                <w:rStyle w:val="emoji"/>
                <w:rFonts w:ascii="Segoe UI Emoji" w:hAnsi="Segoe UI Emoji"/>
                <w:color w:val="000000"/>
                <w:sz w:val="18"/>
                <w:szCs w:val="18"/>
                <w:bdr w:val="none" w:sz="0" w:space="0" w:color="auto" w:frame="1"/>
              </w:rPr>
              <w:t>⬆️</w:t>
            </w:r>
            <w:r w:rsidRPr="00563BE8">
              <w:rPr>
                <w:rFonts w:ascii="Helvetica" w:hAnsi="Helvetica"/>
                <w:color w:val="000000"/>
                <w:sz w:val="18"/>
                <w:szCs w:val="18"/>
              </w:rPr>
              <w:t> </w:t>
            </w:r>
          </w:p>
          <w:p w14:paraId="450EEE7B" w14:textId="77777777" w:rsidR="00192FD6" w:rsidRPr="00563BE8" w:rsidRDefault="00192FD6" w:rsidP="00073B99">
            <w:pPr>
              <w:rPr>
                <w:rFonts w:ascii="Calibri" w:eastAsia="Times New Roman" w:hAnsi="Calibri" w:cs="Calibri"/>
                <w:color w:val="000000"/>
                <w:sz w:val="18"/>
                <w:szCs w:val="18"/>
              </w:rPr>
            </w:pPr>
          </w:p>
        </w:tc>
      </w:tr>
      <w:tr w:rsidR="00192FD6" w14:paraId="6F62B5D1" w14:textId="77777777" w:rsidTr="00073B99">
        <w:tc>
          <w:tcPr>
            <w:tcW w:w="3116" w:type="dxa"/>
          </w:tcPr>
          <w:p w14:paraId="6CCD7321"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2012</w:t>
            </w:r>
          </w:p>
        </w:tc>
        <w:tc>
          <w:tcPr>
            <w:tcW w:w="4079" w:type="dxa"/>
          </w:tcPr>
          <w:p w14:paraId="20C6BAC4"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$752,738</w:t>
            </w:r>
          </w:p>
        </w:tc>
        <w:tc>
          <w:tcPr>
            <w:tcW w:w="2155" w:type="dxa"/>
          </w:tcPr>
          <w:p w14:paraId="02F7BBC3" w14:textId="77777777" w:rsidR="00192FD6" w:rsidRPr="00563BE8" w:rsidRDefault="00192FD6" w:rsidP="00073B99">
            <w:pPr>
              <w:pStyle w:val="Heading1"/>
              <w:spacing w:before="0"/>
              <w:textAlignment w:val="baseline"/>
              <w:outlineLvl w:val="0"/>
              <w:rPr>
                <w:rFonts w:ascii="Helvetica" w:hAnsi="Helvetica"/>
                <w:b/>
                <w:bCs/>
                <w:color w:val="000000"/>
                <w:sz w:val="18"/>
                <w:szCs w:val="18"/>
              </w:rPr>
            </w:pPr>
            <w:r w:rsidRPr="00563BE8">
              <w:rPr>
                <w:rFonts w:ascii="Calibri" w:hAnsi="Calibri" w:cs="Calibri"/>
                <w:color w:val="000000"/>
                <w:sz w:val="18"/>
                <w:szCs w:val="18"/>
              </w:rPr>
              <w:t xml:space="preserve">79% </w:t>
            </w:r>
            <w:r w:rsidRPr="00563BE8">
              <w:rPr>
                <w:rFonts w:ascii="Segoe UI Emoji" w:hAnsi="Segoe UI Emoji"/>
                <w:color w:val="000000"/>
                <w:sz w:val="18"/>
                <w:szCs w:val="18"/>
                <w:bdr w:val="none" w:sz="0" w:space="0" w:color="auto" w:frame="1"/>
              </w:rPr>
              <w:t>⬆️</w:t>
            </w:r>
            <w:r w:rsidRPr="00563BE8">
              <w:rPr>
                <w:rFonts w:ascii="Helvetica" w:hAnsi="Helvetica"/>
                <w:color w:val="000000"/>
                <w:sz w:val="18"/>
                <w:szCs w:val="18"/>
              </w:rPr>
              <w:t> </w:t>
            </w:r>
          </w:p>
          <w:p w14:paraId="74EAD10C" w14:textId="77777777" w:rsidR="00192FD6" w:rsidRPr="00563BE8" w:rsidRDefault="00192FD6" w:rsidP="00073B99">
            <w:pPr>
              <w:rPr>
                <w:rFonts w:ascii="Calibri" w:eastAsia="Times New Roman" w:hAnsi="Calibri" w:cs="Calibri"/>
                <w:color w:val="000000"/>
                <w:sz w:val="18"/>
                <w:szCs w:val="18"/>
              </w:rPr>
            </w:pPr>
          </w:p>
        </w:tc>
      </w:tr>
      <w:tr w:rsidR="00192FD6" w14:paraId="59F744F3" w14:textId="77777777" w:rsidTr="00073B99">
        <w:tc>
          <w:tcPr>
            <w:tcW w:w="3116" w:type="dxa"/>
          </w:tcPr>
          <w:p w14:paraId="38E5F874"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2011</w:t>
            </w:r>
          </w:p>
        </w:tc>
        <w:tc>
          <w:tcPr>
            <w:tcW w:w="4079" w:type="dxa"/>
          </w:tcPr>
          <w:p w14:paraId="697958C6" w14:textId="77777777" w:rsidR="00192FD6" w:rsidRDefault="00192FD6" w:rsidP="00073B99">
            <w:pPr>
              <w:rPr>
                <w:rFonts w:ascii="Calibri" w:eastAsia="Times New Roman" w:hAnsi="Calibri" w:cs="Calibri"/>
                <w:color w:val="000000"/>
              </w:rPr>
            </w:pPr>
            <w:r>
              <w:rPr>
                <w:rFonts w:ascii="Calibri" w:eastAsia="Times New Roman" w:hAnsi="Calibri" w:cs="Calibri"/>
                <w:color w:val="000000"/>
              </w:rPr>
              <w:t>$593,994</w:t>
            </w:r>
          </w:p>
        </w:tc>
        <w:tc>
          <w:tcPr>
            <w:tcW w:w="2155" w:type="dxa"/>
          </w:tcPr>
          <w:p w14:paraId="6F4F8D93" w14:textId="77777777" w:rsidR="00192FD6" w:rsidRDefault="00192FD6" w:rsidP="00073B99">
            <w:pPr>
              <w:rPr>
                <w:rFonts w:ascii="Calibri" w:eastAsia="Times New Roman" w:hAnsi="Calibri" w:cs="Calibri"/>
                <w:color w:val="000000"/>
              </w:rPr>
            </w:pPr>
          </w:p>
        </w:tc>
      </w:tr>
    </w:tbl>
    <w:p w14:paraId="6AE82F60" w14:textId="77777777" w:rsidR="00192FD6" w:rsidRDefault="00192FD6" w:rsidP="00192FD6">
      <w:pPr>
        <w:pStyle w:val="Head2"/>
        <w:numPr>
          <w:ilvl w:val="0"/>
          <w:numId w:val="0"/>
        </w:numPr>
      </w:pPr>
    </w:p>
    <w:p w14:paraId="63615F9C" w14:textId="78B29665" w:rsidR="00192FD6" w:rsidRDefault="00563BE8" w:rsidP="00192FD6">
      <w:pPr>
        <w:pStyle w:val="Head2"/>
        <w:numPr>
          <w:ilvl w:val="0"/>
          <w:numId w:val="0"/>
        </w:numPr>
      </w:pPr>
      <w:r>
        <w:rPr>
          <w:noProof/>
        </w:rPr>
        <w:drawing>
          <wp:anchor distT="0" distB="0" distL="114300" distR="114300" simplePos="0" relativeHeight="251660288" behindDoc="1" locked="0" layoutInCell="1" allowOverlap="1" wp14:anchorId="18BD15E2" wp14:editId="1BEDC694">
            <wp:simplePos x="0" y="0"/>
            <wp:positionH relativeFrom="margin">
              <wp:posOffset>2742565</wp:posOffset>
            </wp:positionH>
            <wp:positionV relativeFrom="paragraph">
              <wp:posOffset>385445</wp:posOffset>
            </wp:positionV>
            <wp:extent cx="3616325" cy="2178050"/>
            <wp:effectExtent l="0" t="0" r="3175" b="12700"/>
            <wp:wrapTight wrapText="bothSides">
              <wp:wrapPolygon edited="0">
                <wp:start x="0" y="0"/>
                <wp:lineTo x="0" y="21537"/>
                <wp:lineTo x="21505" y="21537"/>
                <wp:lineTo x="21505"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192FD6">
        <w:t xml:space="preserve">2.3 </w:t>
      </w:r>
      <w:r>
        <w:t>Average amount of student loan debt at graduation per student each year (Hanson, 2022).</w:t>
      </w:r>
    </w:p>
    <w:tbl>
      <w:tblPr>
        <w:tblStyle w:val="TableGrid"/>
        <w:tblW w:w="0" w:type="auto"/>
        <w:tblLook w:val="04A0" w:firstRow="1" w:lastRow="0" w:firstColumn="1" w:lastColumn="0" w:noHBand="0" w:noVBand="1"/>
      </w:tblPr>
      <w:tblGrid>
        <w:gridCol w:w="1955"/>
        <w:gridCol w:w="1955"/>
      </w:tblGrid>
      <w:tr w:rsidR="00563BE8" w14:paraId="2B99F3E0" w14:textId="77777777" w:rsidTr="00073B99">
        <w:trPr>
          <w:trHeight w:val="270"/>
        </w:trPr>
        <w:tc>
          <w:tcPr>
            <w:tcW w:w="1955" w:type="dxa"/>
          </w:tcPr>
          <w:p w14:paraId="1A5DE3F3" w14:textId="77777777" w:rsidR="00563BE8" w:rsidRDefault="00563BE8" w:rsidP="00073B99">
            <w:r>
              <w:t>2021</w:t>
            </w:r>
          </w:p>
        </w:tc>
        <w:tc>
          <w:tcPr>
            <w:tcW w:w="1955" w:type="dxa"/>
          </w:tcPr>
          <w:p w14:paraId="1EFEAF5B" w14:textId="77777777" w:rsidR="00563BE8" w:rsidRDefault="00563BE8" w:rsidP="00073B99">
            <w:r>
              <w:t>$31,100</w:t>
            </w:r>
          </w:p>
        </w:tc>
      </w:tr>
      <w:tr w:rsidR="00563BE8" w14:paraId="1DB00F43" w14:textId="77777777" w:rsidTr="00073B99">
        <w:trPr>
          <w:trHeight w:val="255"/>
        </w:trPr>
        <w:tc>
          <w:tcPr>
            <w:tcW w:w="1955" w:type="dxa"/>
          </w:tcPr>
          <w:p w14:paraId="4C2DAC98" w14:textId="5723CA4C" w:rsidR="00563BE8" w:rsidRDefault="00563BE8" w:rsidP="00073B99">
            <w:r>
              <w:t xml:space="preserve">  </w:t>
            </w:r>
            <w:r>
              <w:t>2020</w:t>
            </w:r>
          </w:p>
        </w:tc>
        <w:tc>
          <w:tcPr>
            <w:tcW w:w="1955" w:type="dxa"/>
          </w:tcPr>
          <w:p w14:paraId="0F43235B" w14:textId="77777777" w:rsidR="00563BE8" w:rsidRDefault="00563BE8" w:rsidP="00073B99">
            <w:r>
              <w:t>$30,000</w:t>
            </w:r>
          </w:p>
        </w:tc>
      </w:tr>
      <w:tr w:rsidR="00563BE8" w14:paraId="54F6BBF0" w14:textId="77777777" w:rsidTr="00073B99">
        <w:trPr>
          <w:trHeight w:val="270"/>
        </w:trPr>
        <w:tc>
          <w:tcPr>
            <w:tcW w:w="1955" w:type="dxa"/>
          </w:tcPr>
          <w:p w14:paraId="06462F79" w14:textId="77777777" w:rsidR="00563BE8" w:rsidRDefault="00563BE8" w:rsidP="00073B99">
            <w:r>
              <w:t>2019</w:t>
            </w:r>
          </w:p>
        </w:tc>
        <w:tc>
          <w:tcPr>
            <w:tcW w:w="1955" w:type="dxa"/>
          </w:tcPr>
          <w:p w14:paraId="4D97D5ED" w14:textId="77777777" w:rsidR="00563BE8" w:rsidRDefault="00563BE8" w:rsidP="00073B99">
            <w:r>
              <w:t>$29,500</w:t>
            </w:r>
          </w:p>
        </w:tc>
      </w:tr>
      <w:tr w:rsidR="00563BE8" w14:paraId="600DEE2D" w14:textId="77777777" w:rsidTr="00073B99">
        <w:trPr>
          <w:trHeight w:val="255"/>
        </w:trPr>
        <w:tc>
          <w:tcPr>
            <w:tcW w:w="1955" w:type="dxa"/>
          </w:tcPr>
          <w:p w14:paraId="1894D409" w14:textId="77777777" w:rsidR="00563BE8" w:rsidRDefault="00563BE8" w:rsidP="00073B99">
            <w:r>
              <w:t>2018</w:t>
            </w:r>
          </w:p>
        </w:tc>
        <w:tc>
          <w:tcPr>
            <w:tcW w:w="1955" w:type="dxa"/>
          </w:tcPr>
          <w:p w14:paraId="20971BB0" w14:textId="77777777" w:rsidR="00563BE8" w:rsidRDefault="00563BE8" w:rsidP="00073B99">
            <w:r>
              <w:t>$29,220</w:t>
            </w:r>
          </w:p>
        </w:tc>
      </w:tr>
      <w:tr w:rsidR="00563BE8" w14:paraId="2A80A782" w14:textId="77777777" w:rsidTr="00073B99">
        <w:trPr>
          <w:trHeight w:val="270"/>
        </w:trPr>
        <w:tc>
          <w:tcPr>
            <w:tcW w:w="1955" w:type="dxa"/>
          </w:tcPr>
          <w:p w14:paraId="117719E1" w14:textId="77777777" w:rsidR="00563BE8" w:rsidRDefault="00563BE8" w:rsidP="00073B99">
            <w:r>
              <w:t>2017</w:t>
            </w:r>
          </w:p>
        </w:tc>
        <w:tc>
          <w:tcPr>
            <w:tcW w:w="1955" w:type="dxa"/>
          </w:tcPr>
          <w:p w14:paraId="212884F0" w14:textId="77777777" w:rsidR="00563BE8" w:rsidRDefault="00563BE8" w:rsidP="00073B99">
            <w:r>
              <w:t>$28,650</w:t>
            </w:r>
          </w:p>
        </w:tc>
      </w:tr>
      <w:tr w:rsidR="00563BE8" w14:paraId="69F01CD8" w14:textId="77777777" w:rsidTr="00073B99">
        <w:trPr>
          <w:trHeight w:val="255"/>
        </w:trPr>
        <w:tc>
          <w:tcPr>
            <w:tcW w:w="1955" w:type="dxa"/>
          </w:tcPr>
          <w:p w14:paraId="24A6E22C" w14:textId="77777777" w:rsidR="00563BE8" w:rsidRDefault="00563BE8" w:rsidP="00073B99">
            <w:r>
              <w:t>2016</w:t>
            </w:r>
          </w:p>
        </w:tc>
        <w:tc>
          <w:tcPr>
            <w:tcW w:w="1955" w:type="dxa"/>
          </w:tcPr>
          <w:p w14:paraId="313F7173" w14:textId="77777777" w:rsidR="00563BE8" w:rsidRDefault="00563BE8" w:rsidP="00073B99">
            <w:r>
              <w:t>$28,525</w:t>
            </w:r>
          </w:p>
        </w:tc>
      </w:tr>
      <w:tr w:rsidR="00563BE8" w14:paraId="752F3912" w14:textId="77777777" w:rsidTr="00073B99">
        <w:trPr>
          <w:trHeight w:val="270"/>
        </w:trPr>
        <w:tc>
          <w:tcPr>
            <w:tcW w:w="1955" w:type="dxa"/>
          </w:tcPr>
          <w:p w14:paraId="3B8F8307" w14:textId="77777777" w:rsidR="00563BE8" w:rsidRDefault="00563BE8" w:rsidP="00073B99">
            <w:r>
              <w:t>2015</w:t>
            </w:r>
          </w:p>
        </w:tc>
        <w:tc>
          <w:tcPr>
            <w:tcW w:w="1955" w:type="dxa"/>
          </w:tcPr>
          <w:p w14:paraId="0BA2875A" w14:textId="77777777" w:rsidR="00563BE8" w:rsidRDefault="00563BE8" w:rsidP="00073B99">
            <w:r>
              <w:t>$28,400</w:t>
            </w:r>
          </w:p>
        </w:tc>
      </w:tr>
      <w:tr w:rsidR="00563BE8" w14:paraId="7F44BD85" w14:textId="77777777" w:rsidTr="00073B99">
        <w:trPr>
          <w:trHeight w:val="270"/>
        </w:trPr>
        <w:tc>
          <w:tcPr>
            <w:tcW w:w="1955" w:type="dxa"/>
          </w:tcPr>
          <w:p w14:paraId="2FAD5C47" w14:textId="77777777" w:rsidR="00563BE8" w:rsidRDefault="00563BE8" w:rsidP="00073B99">
            <w:r>
              <w:t>2014</w:t>
            </w:r>
          </w:p>
        </w:tc>
        <w:tc>
          <w:tcPr>
            <w:tcW w:w="1955" w:type="dxa"/>
          </w:tcPr>
          <w:p w14:paraId="28B9E9A2" w14:textId="77777777" w:rsidR="00563BE8" w:rsidRDefault="00563BE8" w:rsidP="00073B99">
            <w:r>
              <w:t>$28,650</w:t>
            </w:r>
          </w:p>
        </w:tc>
      </w:tr>
      <w:tr w:rsidR="00563BE8" w14:paraId="625F19D3" w14:textId="77777777" w:rsidTr="00073B99">
        <w:trPr>
          <w:trHeight w:val="255"/>
        </w:trPr>
        <w:tc>
          <w:tcPr>
            <w:tcW w:w="1955" w:type="dxa"/>
          </w:tcPr>
          <w:p w14:paraId="0B279713" w14:textId="77777777" w:rsidR="00563BE8" w:rsidRDefault="00563BE8" w:rsidP="00073B99">
            <w:r>
              <w:t>2013</w:t>
            </w:r>
          </w:p>
        </w:tc>
        <w:tc>
          <w:tcPr>
            <w:tcW w:w="1955" w:type="dxa"/>
          </w:tcPr>
          <w:p w14:paraId="08DB5BD8" w14:textId="77777777" w:rsidR="00563BE8" w:rsidRDefault="00563BE8" w:rsidP="00073B99">
            <w:r>
              <w:t>$28,900</w:t>
            </w:r>
          </w:p>
        </w:tc>
      </w:tr>
      <w:tr w:rsidR="00563BE8" w14:paraId="59EA2D36" w14:textId="77777777" w:rsidTr="00073B99">
        <w:trPr>
          <w:trHeight w:val="270"/>
        </w:trPr>
        <w:tc>
          <w:tcPr>
            <w:tcW w:w="1955" w:type="dxa"/>
          </w:tcPr>
          <w:p w14:paraId="756EA1DE" w14:textId="77777777" w:rsidR="00563BE8" w:rsidRDefault="00563BE8" w:rsidP="00073B99">
            <w:r>
              <w:t xml:space="preserve">  2012</w:t>
            </w:r>
          </w:p>
        </w:tc>
        <w:tc>
          <w:tcPr>
            <w:tcW w:w="1955" w:type="dxa"/>
          </w:tcPr>
          <w:p w14:paraId="3044C945" w14:textId="77777777" w:rsidR="00563BE8" w:rsidRDefault="00563BE8" w:rsidP="00073B99">
            <w:r>
              <w:t>$29,400</w:t>
            </w:r>
          </w:p>
        </w:tc>
      </w:tr>
      <w:tr w:rsidR="00563BE8" w14:paraId="6181319C" w14:textId="77777777" w:rsidTr="00073B99">
        <w:trPr>
          <w:trHeight w:val="70"/>
        </w:trPr>
        <w:tc>
          <w:tcPr>
            <w:tcW w:w="1955" w:type="dxa"/>
          </w:tcPr>
          <w:p w14:paraId="07D565F5" w14:textId="77777777" w:rsidR="00563BE8" w:rsidRDefault="00563BE8" w:rsidP="00073B99">
            <w:r>
              <w:t>2011</w:t>
            </w:r>
          </w:p>
        </w:tc>
        <w:tc>
          <w:tcPr>
            <w:tcW w:w="1955" w:type="dxa"/>
          </w:tcPr>
          <w:p w14:paraId="20B52CB7" w14:textId="77777777" w:rsidR="00563BE8" w:rsidRDefault="00563BE8" w:rsidP="00073B99">
            <w:r>
              <w:t>$25,300</w:t>
            </w:r>
          </w:p>
        </w:tc>
      </w:tr>
    </w:tbl>
    <w:p w14:paraId="25661166" w14:textId="23D68B81" w:rsidR="00563BE8" w:rsidRPr="00563BE8" w:rsidRDefault="00563BE8" w:rsidP="00563BE8">
      <w:pPr>
        <w:pStyle w:val="Para"/>
        <w:rPr>
          <w:lang w:eastAsia="en-US"/>
        </w:rPr>
      </w:pPr>
    </w:p>
    <w:p w14:paraId="3E9C2FEE" w14:textId="08770023" w:rsidR="005B434B" w:rsidRDefault="005B434B" w:rsidP="005B434B">
      <w:pPr>
        <w:pStyle w:val="Image"/>
        <w:spacing w:before="120"/>
      </w:pPr>
    </w:p>
    <w:p w14:paraId="584CFF01" w14:textId="1CDF9D5C" w:rsidR="00F94F4C" w:rsidRDefault="00F94F4C" w:rsidP="005B434B">
      <w:pPr>
        <w:pStyle w:val="Image"/>
        <w:spacing w:before="120"/>
      </w:pPr>
    </w:p>
    <w:p w14:paraId="49A49DA6" w14:textId="58F9398D" w:rsidR="00F94F4C" w:rsidRDefault="00F94F4C" w:rsidP="00F94F4C">
      <w:pPr>
        <w:pStyle w:val="Image"/>
        <w:spacing w:before="120"/>
        <w:jc w:val="left"/>
        <w:rPr>
          <w:b/>
          <w:bCs/>
        </w:rPr>
      </w:pPr>
      <w:r w:rsidRPr="00F94F4C">
        <w:rPr>
          <w:b/>
          <w:bCs/>
        </w:rPr>
        <w:t xml:space="preserve">2.5 </w:t>
      </w:r>
      <w:r>
        <w:rPr>
          <w:b/>
          <w:bCs/>
        </w:rPr>
        <w:t>Data Analysis</w:t>
      </w:r>
    </w:p>
    <w:p w14:paraId="6C21BA40" w14:textId="2A5CE4F5" w:rsidR="00F94F4C" w:rsidRDefault="00F94F4C" w:rsidP="00F94F4C">
      <w:pPr>
        <w:pStyle w:val="Image"/>
        <w:spacing w:before="120"/>
        <w:jc w:val="left"/>
      </w:pPr>
      <w:r w:rsidRPr="00F94F4C">
        <w:t>The standard deviation for the whole FSA</w:t>
      </w:r>
      <w:r w:rsidR="00DB76CF">
        <w:t xml:space="preserve"> annual</w:t>
      </w:r>
      <w:r w:rsidRPr="00F94F4C">
        <w:t xml:space="preserve"> funding data set is 234,745.8. The standard deviation of the data set indicates the values are </w:t>
      </w:r>
      <w:r>
        <w:t>widely dispersed</w:t>
      </w:r>
      <w:r w:rsidRPr="00F94F4C">
        <w:t>. The standard deviation of funding from 2018-2020</w:t>
      </w:r>
      <w:r>
        <w:t>, the year funding decreased,</w:t>
      </w:r>
      <w:r w:rsidRPr="00F94F4C">
        <w:t xml:space="preserve"> is 21,686.73. This indicates a significant distance of funding year-to-year and funding may not be reliable.</w:t>
      </w:r>
      <w:r w:rsidR="00DB76CF">
        <w:t xml:space="preserve"> Even in previous years, before the decrease in 2018, FSA funding does not follow an allowance trend.</w:t>
      </w:r>
    </w:p>
    <w:p w14:paraId="75F64A99" w14:textId="4FBB6725" w:rsidR="007B4B12" w:rsidRPr="007B4B12" w:rsidRDefault="007B4B12" w:rsidP="00F94F4C">
      <w:pPr>
        <w:pStyle w:val="Image"/>
        <w:spacing w:before="120"/>
        <w:jc w:val="left"/>
        <w:rPr>
          <w:b/>
          <w:bCs/>
        </w:rPr>
      </w:pPr>
      <w:r w:rsidRPr="007B4B12">
        <w:rPr>
          <w:b/>
          <w:bCs/>
        </w:rPr>
        <w:t>2.6 Results and Discussion</w:t>
      </w:r>
    </w:p>
    <w:p w14:paraId="11DC8BBD" w14:textId="7E30F9C2" w:rsidR="00DB76CF" w:rsidRPr="00F94F4C" w:rsidRDefault="00DB76CF" w:rsidP="00F94F4C">
      <w:pPr>
        <w:pStyle w:val="Image"/>
        <w:spacing w:before="120"/>
        <w:jc w:val="left"/>
      </w:pPr>
      <w:r>
        <w:t>The average amount of student loan debt per student at graduation has steadily increased since 2015. This increase implies students are not receiving as much funding per student, thus resulting in more student loan debt.</w:t>
      </w:r>
      <w:r w:rsidR="007B4B12">
        <w:t xml:space="preserve"> FSA does not support a trend of increasing FSA funding. Therefore, it is challenging to predict the available financial aide that will be available. Students may not be able to depend on FSA. Receiving varying amounts of financial aid </w:t>
      </w:r>
      <w:proofErr w:type="gramStart"/>
      <w:r w:rsidR="007B4B12">
        <w:t>will may</w:t>
      </w:r>
      <w:proofErr w:type="gramEnd"/>
      <w:r w:rsidR="007B4B12">
        <w:t xml:space="preserve"> cause unorganized financial planning for students or the addition of student loans they did not anticipate. </w:t>
      </w:r>
    </w:p>
    <w:p w14:paraId="6F9EBD70" w14:textId="0CCB0FE4" w:rsidR="005B434B" w:rsidRDefault="00563BE8" w:rsidP="00563BE8">
      <w:pPr>
        <w:pStyle w:val="Head1"/>
      </w:pPr>
      <w:r>
        <w:t>Conclusion</w:t>
      </w:r>
    </w:p>
    <w:p w14:paraId="7EC71696" w14:textId="55DACE6F" w:rsidR="00563BE8" w:rsidRDefault="00563BE8" w:rsidP="00563BE8">
      <w:pPr>
        <w:pStyle w:val="Para"/>
        <w:rPr>
          <w:lang w:eastAsia="en-US"/>
        </w:rPr>
      </w:pPr>
      <w:r>
        <w:rPr>
          <w:lang w:eastAsia="en-US"/>
        </w:rPr>
        <w:t xml:space="preserve">Progressive increase in Student Financial Aid is crucial to continue to fund students attending university, </w:t>
      </w:r>
      <w:proofErr w:type="gramStart"/>
      <w:r>
        <w:rPr>
          <w:lang w:eastAsia="en-US"/>
        </w:rPr>
        <w:t>college</w:t>
      </w:r>
      <w:proofErr w:type="gramEnd"/>
      <w:r>
        <w:rPr>
          <w:lang w:eastAsia="en-US"/>
        </w:rPr>
        <w:t xml:space="preserve"> and additional schooling. Student financial debt has only increased since 2015. After 2018, funding decreases by 1% to 2019. Funding decreases another 1% from 2019 to 2020. Finally, we see an increase from 2020 to 2021 by 1%. </w:t>
      </w:r>
      <w:r w:rsidR="00DB76CF">
        <w:rPr>
          <w:lang w:eastAsia="en-US"/>
        </w:rPr>
        <w:t xml:space="preserve">This increase does not put FSA funding back on track to meet standards in 2022. </w:t>
      </w:r>
      <w:r w:rsidR="00F94F4C">
        <w:rPr>
          <w:lang w:eastAsia="en-US"/>
        </w:rPr>
        <w:t>With FSA funding being widely dispersed from 2018 – 2020, it is not reliable for students to depend on the same award amount</w:t>
      </w:r>
      <w:r w:rsidR="00DB76CF">
        <w:rPr>
          <w:lang w:eastAsia="en-US"/>
        </w:rPr>
        <w:t xml:space="preserve"> year-to-year.</w:t>
      </w:r>
    </w:p>
    <w:p w14:paraId="5F13C616" w14:textId="77777777" w:rsidR="00F94F4C" w:rsidRPr="00F94F4C" w:rsidRDefault="00F94F4C" w:rsidP="00F94F4C">
      <w:pPr>
        <w:pStyle w:val="ParaContinue"/>
        <w:ind w:firstLine="0"/>
        <w:rPr>
          <w:lang w:eastAsia="en-US"/>
        </w:rPr>
      </w:pPr>
    </w:p>
    <w:p w14:paraId="652D62FC" w14:textId="21D427A1" w:rsidR="00563BE8" w:rsidRDefault="00563BE8" w:rsidP="00563BE8">
      <w:pPr>
        <w:pStyle w:val="Para"/>
        <w:rPr>
          <w:lang w:eastAsia="en-US"/>
        </w:rPr>
      </w:pPr>
      <w:r>
        <w:rPr>
          <w:lang w:eastAsia="en-US"/>
        </w:rPr>
        <w:t xml:space="preserve">It is imperative FSA funding remain </w:t>
      </w:r>
      <w:r w:rsidR="005C303E">
        <w:rPr>
          <w:lang w:eastAsia="en-US"/>
        </w:rPr>
        <w:t>steady</w:t>
      </w:r>
      <w:r>
        <w:rPr>
          <w:lang w:eastAsia="en-US"/>
        </w:rPr>
        <w:t xml:space="preserve"> and consistent to support students attending additional schooling. Without steady and consistent funding, higher student debt will be accumulated and less students will have the opportunity to attend more schooling. Since the d</w:t>
      </w:r>
      <w:r w:rsidR="00DB76CF">
        <w:rPr>
          <w:lang w:eastAsia="en-US"/>
        </w:rPr>
        <w:t>ecrease</w:t>
      </w:r>
      <w:r>
        <w:rPr>
          <w:lang w:eastAsia="en-US"/>
        </w:rPr>
        <w:t xml:space="preserve"> in 2018, it is assumed FSA funding is unpredictable. This may cause </w:t>
      </w:r>
      <w:r w:rsidR="00DB76CF">
        <w:rPr>
          <w:lang w:eastAsia="en-US"/>
        </w:rPr>
        <w:t>financial problems</w:t>
      </w:r>
      <w:r w:rsidR="007B4B12">
        <w:rPr>
          <w:lang w:eastAsia="en-US"/>
        </w:rPr>
        <w:t xml:space="preserve"> </w:t>
      </w:r>
      <w:r w:rsidR="00DB76CF">
        <w:rPr>
          <w:lang w:eastAsia="en-US"/>
        </w:rPr>
        <w:lastRenderedPageBreak/>
        <w:t>for</w:t>
      </w:r>
      <w:r>
        <w:rPr>
          <w:lang w:eastAsia="en-US"/>
        </w:rPr>
        <w:t xml:space="preserve"> students who attend school </w:t>
      </w:r>
      <w:r w:rsidR="00DB76CF">
        <w:rPr>
          <w:lang w:eastAsia="en-US"/>
        </w:rPr>
        <w:t>by means of FSA funding</w:t>
      </w:r>
      <w:r>
        <w:rPr>
          <w:lang w:eastAsia="en-US"/>
        </w:rPr>
        <w:t xml:space="preserve"> if they are not awarded the same amount or any aid in continuing years.</w:t>
      </w:r>
    </w:p>
    <w:p w14:paraId="6300FE83" w14:textId="4B2CC4A9" w:rsidR="007B4B12" w:rsidRDefault="007B4B12" w:rsidP="007B4B12">
      <w:pPr>
        <w:pStyle w:val="Head2"/>
      </w:pPr>
      <w:r w:rsidRPr="007B4B12">
        <w:t xml:space="preserve">Limitations </w:t>
      </w:r>
    </w:p>
    <w:p w14:paraId="64BD3F28" w14:textId="4BB5F65E" w:rsidR="007B4B12" w:rsidRDefault="007B4B12" w:rsidP="007B4B12">
      <w:pPr>
        <w:pStyle w:val="ParaContinue"/>
        <w:ind w:firstLine="0"/>
        <w:rPr>
          <w:lang w:eastAsia="en-US"/>
        </w:rPr>
      </w:pPr>
      <w:r>
        <w:rPr>
          <w:lang w:eastAsia="en-US"/>
        </w:rPr>
        <w:t xml:space="preserve">Limitations include students who remain unaffected by FSA awards. These students may not depend on or qualify to receive FSA or other financial assistance while attending school. </w:t>
      </w:r>
    </w:p>
    <w:p w14:paraId="329D432B" w14:textId="08C0D4D5" w:rsidR="007B4B12" w:rsidRPr="007B4B12" w:rsidRDefault="007B4B12" w:rsidP="007B4B12">
      <w:pPr>
        <w:pStyle w:val="ParaContinue"/>
        <w:ind w:firstLine="0"/>
        <w:rPr>
          <w:lang w:eastAsia="en-US"/>
        </w:rPr>
      </w:pPr>
      <w:r>
        <w:rPr>
          <w:lang w:eastAsia="en-US"/>
        </w:rPr>
        <w:t xml:space="preserve">A limitation includes the United States economic position. Government funding will be </w:t>
      </w:r>
      <w:proofErr w:type="gramStart"/>
      <w:r>
        <w:rPr>
          <w:lang w:eastAsia="en-US"/>
        </w:rPr>
        <w:t>effected</w:t>
      </w:r>
      <w:proofErr w:type="gramEnd"/>
      <w:r>
        <w:rPr>
          <w:lang w:eastAsia="en-US"/>
        </w:rPr>
        <w:t xml:space="preserve"> by the potential of future depression, shortages, pandemics and other disaster. </w:t>
      </w:r>
    </w:p>
    <w:p w14:paraId="2D9189F5" w14:textId="18C596C0" w:rsidR="005B434B" w:rsidRDefault="00D83CA6" w:rsidP="005B434B">
      <w:pPr>
        <w:pStyle w:val="Head1"/>
        <w:tabs>
          <w:tab w:val="clear" w:pos="360"/>
        </w:tabs>
        <w:ind w:left="432" w:hanging="432"/>
      </w:pPr>
      <w:r>
        <w:t>Literature Review</w:t>
      </w:r>
    </w:p>
    <w:p w14:paraId="7A10EA1F" w14:textId="1C021603" w:rsidR="007A1D62" w:rsidRDefault="007A1D62" w:rsidP="004C40EB">
      <w:pPr>
        <w:pStyle w:val="Para"/>
        <w:ind w:firstLine="0"/>
        <w:rPr>
          <w:lang w:eastAsia="en-US"/>
        </w:rPr>
      </w:pPr>
      <w:r>
        <w:rPr>
          <w:lang w:eastAsia="en-US"/>
        </w:rPr>
        <w:t xml:space="preserve">[1] Baum, S., Saunders, D. 1998. Life after debt: Results of the National Student loan Survey selected text from the final report. Journal of Student Financial Aid, 28(3), 1/. Retrieved August 1, 2022, from </w:t>
      </w:r>
      <w:hyperlink r:id="rId9" w:history="1">
        <w:r w:rsidRPr="00FD79AF">
          <w:rPr>
            <w:rStyle w:val="Hyperlink"/>
            <w:lang w:eastAsia="en-US"/>
          </w:rPr>
          <w:t>https://www.researchgate.net/profile/Sandy-Baum/publication/234628563_Life_After_Debt_Results_of_the_National_Student_Loan_Survey_Selected_Text_From_the_Final_Report/links/555e6f9508ae6f4dcc8dd75e/Life-After-Debt-Results-of-the-National-Student-Loan-Survey-Selected-Text-From-the-Final-Report.pdf</w:t>
        </w:r>
      </w:hyperlink>
    </w:p>
    <w:p w14:paraId="0D517AC5" w14:textId="1523DDD6" w:rsidR="007A1D62" w:rsidRDefault="007A1D62" w:rsidP="007A1D62">
      <w:pPr>
        <w:pStyle w:val="ParaContinue"/>
        <w:ind w:firstLine="0"/>
        <w:rPr>
          <w:lang w:eastAsia="en-US"/>
        </w:rPr>
      </w:pPr>
      <w:r>
        <w:rPr>
          <w:lang w:eastAsia="en-US"/>
        </w:rPr>
        <w:t>This article is the from the Student Financial Aid Journal. It analyses a survey they conducted with people who were experiencing student loan debt. The analysis determines those individuals who still have student loans and how it is affecting them. They also identify those who paid of their student loans and to what they attribute the ability to pay them off to.</w:t>
      </w:r>
    </w:p>
    <w:p w14:paraId="468EC088" w14:textId="77777777" w:rsidR="007A1D62" w:rsidRPr="007A1D62" w:rsidRDefault="007A1D62" w:rsidP="007A1D62">
      <w:pPr>
        <w:pStyle w:val="ParaContinue"/>
        <w:ind w:firstLine="0"/>
        <w:rPr>
          <w:lang w:eastAsia="en-US"/>
        </w:rPr>
      </w:pPr>
    </w:p>
    <w:p w14:paraId="6E1C1BC9" w14:textId="17133E92" w:rsidR="00B944B4" w:rsidRDefault="00B944B4" w:rsidP="004C40EB">
      <w:pPr>
        <w:pStyle w:val="Para"/>
        <w:ind w:firstLine="0"/>
        <w:rPr>
          <w:lang w:eastAsia="en-US"/>
        </w:rPr>
      </w:pPr>
      <w:r>
        <w:rPr>
          <w:lang w:eastAsia="en-US"/>
        </w:rPr>
        <w:t>[</w:t>
      </w:r>
      <w:r w:rsidR="007A1D62">
        <w:rPr>
          <w:lang w:eastAsia="en-US"/>
        </w:rPr>
        <w:t>2</w:t>
      </w:r>
      <w:r>
        <w:rPr>
          <w:lang w:eastAsia="en-US"/>
        </w:rPr>
        <w:t xml:space="preserve">] Fry, R. 2012. A record one-in-five households now owe student loan debt. </w:t>
      </w:r>
      <w:proofErr w:type="spellStart"/>
      <w:r>
        <w:rPr>
          <w:lang w:eastAsia="en-US"/>
        </w:rPr>
        <w:t>Peew</w:t>
      </w:r>
      <w:proofErr w:type="spellEnd"/>
      <w:r>
        <w:rPr>
          <w:lang w:eastAsia="en-US"/>
        </w:rPr>
        <w:t xml:space="preserve"> Research Center, </w:t>
      </w:r>
      <w:proofErr w:type="gramStart"/>
      <w:r>
        <w:rPr>
          <w:lang w:eastAsia="en-US"/>
        </w:rPr>
        <w:t>September,</w:t>
      </w:r>
      <w:proofErr w:type="gramEnd"/>
      <w:r>
        <w:rPr>
          <w:lang w:eastAsia="en-US"/>
        </w:rPr>
        <w:t xml:space="preserve"> 26. Retrieved August 1, 2022, from </w:t>
      </w:r>
      <w:hyperlink r:id="rId10" w:history="1">
        <w:r w:rsidRPr="00FD79AF">
          <w:rPr>
            <w:rStyle w:val="Hyperlink"/>
            <w:lang w:eastAsia="en-US"/>
          </w:rPr>
          <w:t>https://assets.pewresearch.org/wp-content/uploads/sites/3/2012/09/09-26-12-Student_Debt.pdf</w:t>
        </w:r>
      </w:hyperlink>
    </w:p>
    <w:p w14:paraId="5E4D0219" w14:textId="4097B75F" w:rsidR="00B944B4" w:rsidRDefault="00B944B4" w:rsidP="00B944B4">
      <w:pPr>
        <w:pStyle w:val="ParaContinue"/>
        <w:ind w:firstLine="0"/>
        <w:rPr>
          <w:lang w:eastAsia="en-US"/>
        </w:rPr>
      </w:pPr>
      <w:r>
        <w:rPr>
          <w:lang w:eastAsia="en-US"/>
        </w:rPr>
        <w:t>This article by Fry explores how widely spread student loan debt it. Student loan effects one-in-five households. This problem of student loan debt is widely experienced throughout America and is a problem that only continues to grow.</w:t>
      </w:r>
    </w:p>
    <w:p w14:paraId="1762A0B7" w14:textId="77777777" w:rsidR="007A1D62" w:rsidRDefault="007A1D62" w:rsidP="00B944B4">
      <w:pPr>
        <w:pStyle w:val="ParaContinue"/>
        <w:ind w:firstLine="0"/>
        <w:rPr>
          <w:lang w:eastAsia="en-US"/>
        </w:rPr>
      </w:pPr>
    </w:p>
    <w:p w14:paraId="5DD5EB30" w14:textId="58541378" w:rsidR="00B944B4" w:rsidRDefault="00B944B4" w:rsidP="00B944B4">
      <w:pPr>
        <w:pStyle w:val="ParaContinue"/>
        <w:ind w:firstLine="0"/>
        <w:rPr>
          <w:lang w:eastAsia="en-US"/>
        </w:rPr>
      </w:pPr>
      <w:r>
        <w:rPr>
          <w:lang w:eastAsia="en-US"/>
        </w:rPr>
        <w:t>[</w:t>
      </w:r>
      <w:r w:rsidR="007A1D62">
        <w:rPr>
          <w:lang w:eastAsia="en-US"/>
        </w:rPr>
        <w:t>3</w:t>
      </w:r>
      <w:r>
        <w:rPr>
          <w:lang w:eastAsia="en-US"/>
        </w:rPr>
        <w:t xml:space="preserve">] Greiner, K. 1996. How Much Student Loan debt Is Too </w:t>
      </w:r>
      <w:proofErr w:type="gramStart"/>
      <w:r>
        <w:rPr>
          <w:lang w:eastAsia="en-US"/>
        </w:rPr>
        <w:t>Much?.</w:t>
      </w:r>
      <w:proofErr w:type="gramEnd"/>
      <w:r>
        <w:rPr>
          <w:lang w:eastAsia="en-US"/>
        </w:rPr>
        <w:t xml:space="preserve"> Journal of Student Financial Aid. 26(1), 7-16. Retrieved August 1, 2022, from  </w:t>
      </w:r>
      <w:hyperlink r:id="rId11" w:history="1">
        <w:r w:rsidRPr="00FD79AF">
          <w:rPr>
            <w:rStyle w:val="Hyperlink"/>
            <w:lang w:eastAsia="en-US"/>
          </w:rPr>
          <w:t>https://eric.ed.gov/?id=EJ527952</w:t>
        </w:r>
      </w:hyperlink>
    </w:p>
    <w:p w14:paraId="78D2A2E1" w14:textId="1C3BF382" w:rsidR="00B944B4" w:rsidRDefault="00B944B4" w:rsidP="00B944B4">
      <w:pPr>
        <w:pStyle w:val="ParaContinue"/>
        <w:ind w:firstLine="0"/>
        <w:rPr>
          <w:lang w:eastAsia="en-US"/>
        </w:rPr>
      </w:pPr>
      <w:r>
        <w:rPr>
          <w:lang w:eastAsia="en-US"/>
        </w:rPr>
        <w:t xml:space="preserve">This article was interesting to read because it is from the FSA. It expresses how student loans is </w:t>
      </w:r>
      <w:proofErr w:type="gramStart"/>
      <w:r>
        <w:rPr>
          <w:lang w:eastAsia="en-US"/>
        </w:rPr>
        <w:t>effecting</w:t>
      </w:r>
      <w:proofErr w:type="gramEnd"/>
      <w:r>
        <w:rPr>
          <w:lang w:eastAsia="en-US"/>
        </w:rPr>
        <w:t xml:space="preserve"> the economy and the US citizens. As the years continue, borrowing percentages and allowance limits have only increased. While allowing students to borrow more may seem beneficial, it allows for more student loan debt.</w:t>
      </w:r>
    </w:p>
    <w:p w14:paraId="42F9703C" w14:textId="77777777" w:rsidR="00B944B4" w:rsidRPr="00B944B4" w:rsidRDefault="00B944B4" w:rsidP="00B944B4">
      <w:pPr>
        <w:pStyle w:val="ParaContinue"/>
        <w:ind w:firstLine="0"/>
        <w:rPr>
          <w:lang w:eastAsia="en-US"/>
        </w:rPr>
      </w:pPr>
    </w:p>
    <w:p w14:paraId="09AD6BEF" w14:textId="2C7BD7C8" w:rsidR="004C40EB" w:rsidRDefault="004C40EB" w:rsidP="004C40EB">
      <w:pPr>
        <w:pStyle w:val="Para"/>
        <w:ind w:firstLine="0"/>
        <w:rPr>
          <w:lang w:eastAsia="en-US"/>
        </w:rPr>
      </w:pPr>
      <w:r>
        <w:rPr>
          <w:lang w:eastAsia="en-US"/>
        </w:rPr>
        <w:t>[</w:t>
      </w:r>
      <w:r w:rsidR="007A1D62">
        <w:rPr>
          <w:lang w:eastAsia="en-US"/>
        </w:rPr>
        <w:t>4</w:t>
      </w:r>
      <w:r>
        <w:rPr>
          <w:lang w:eastAsia="en-US"/>
        </w:rPr>
        <w:t xml:space="preserve">] Houle, J.N. 2014. Disparities in Debt: Parents’ Socioeconomic Resources and Young Adult student Loan Debt. Sociology of Education. 87(1), 53-69. Retrieved August 1, 2022, </w:t>
      </w:r>
      <w:proofErr w:type="gramStart"/>
      <w:r>
        <w:rPr>
          <w:lang w:eastAsia="en-US"/>
        </w:rPr>
        <w:t>from  https://doi.org/10.1177/0038040713512213</w:t>
      </w:r>
      <w:proofErr w:type="gramEnd"/>
    </w:p>
    <w:p w14:paraId="74E1DD50" w14:textId="10F57C69" w:rsidR="004C40EB" w:rsidRDefault="004C40EB" w:rsidP="004C40EB">
      <w:pPr>
        <w:pStyle w:val="Para"/>
        <w:ind w:firstLine="0"/>
        <w:rPr>
          <w:lang w:eastAsia="en-US"/>
        </w:rPr>
      </w:pPr>
      <w:r>
        <w:rPr>
          <w:lang w:eastAsia="en-US"/>
        </w:rPr>
        <w:t xml:space="preserve">This article covered more in-depth about why individuals have student loan debt. </w:t>
      </w:r>
      <w:r>
        <w:rPr>
          <w:lang w:eastAsia="en-US"/>
        </w:rPr>
        <w:t xml:space="preserve">Students are directly impacted by their </w:t>
      </w:r>
      <w:proofErr w:type="gramStart"/>
      <w:r>
        <w:rPr>
          <w:lang w:eastAsia="en-US"/>
        </w:rPr>
        <w:t>parents</w:t>
      </w:r>
      <w:proofErr w:type="gramEnd"/>
      <w:r>
        <w:rPr>
          <w:lang w:eastAsia="en-US"/>
        </w:rPr>
        <w:t xml:space="preserve"> education level and income. Students with parents who make a higher income are less likely to have student loan debt. While students with parents that make less are more likely to receive financial funding but may have higher student loans if they do not receive government funding or scholarships.</w:t>
      </w:r>
    </w:p>
    <w:p w14:paraId="2A0B2FFF" w14:textId="05436A62" w:rsidR="004C40EB" w:rsidRDefault="004C40EB" w:rsidP="004C40EB">
      <w:pPr>
        <w:pStyle w:val="Para"/>
        <w:ind w:firstLine="0"/>
        <w:rPr>
          <w:lang w:eastAsia="en-US"/>
        </w:rPr>
      </w:pPr>
    </w:p>
    <w:p w14:paraId="0654F258" w14:textId="2611F0CB" w:rsidR="007A1D62" w:rsidRDefault="007A1D62" w:rsidP="007A1D62">
      <w:pPr>
        <w:pStyle w:val="ParaContinue"/>
        <w:ind w:firstLine="0"/>
        <w:rPr>
          <w:lang w:eastAsia="en-US"/>
        </w:rPr>
      </w:pPr>
      <w:r>
        <w:rPr>
          <w:lang w:eastAsia="en-US"/>
        </w:rPr>
        <w:lastRenderedPageBreak/>
        <w:t xml:space="preserve">[5] </w:t>
      </w:r>
      <w:proofErr w:type="spellStart"/>
      <w:r>
        <w:rPr>
          <w:lang w:eastAsia="en-US"/>
        </w:rPr>
        <w:t>Javine</w:t>
      </w:r>
      <w:proofErr w:type="spellEnd"/>
      <w:r>
        <w:rPr>
          <w:lang w:eastAsia="en-US"/>
        </w:rPr>
        <w:t>, V. 2013. Financial knowledge and student loan usage in college students. Financial Services Review. 22(4), 367-287.</w:t>
      </w:r>
    </w:p>
    <w:p w14:paraId="0BCD2B8A" w14:textId="3751184C" w:rsidR="007A1D62" w:rsidRDefault="007A1D62" w:rsidP="007A1D62">
      <w:pPr>
        <w:pStyle w:val="ParaContinue"/>
        <w:ind w:firstLine="0"/>
        <w:rPr>
          <w:lang w:eastAsia="en-US"/>
        </w:rPr>
      </w:pPr>
      <w:r>
        <w:rPr>
          <w:lang w:eastAsia="en-US"/>
        </w:rPr>
        <w:t xml:space="preserve">This article is from the Financial Student Review. This article illustrated how to effective use student loans and what not to do. This article would help alleviate questions and stresses form students who may have student loans or are considering as student loan. </w:t>
      </w:r>
    </w:p>
    <w:p w14:paraId="3D1DF047" w14:textId="77777777" w:rsidR="007A1D62" w:rsidRPr="007A1D62" w:rsidRDefault="007A1D62" w:rsidP="007A1D62">
      <w:pPr>
        <w:pStyle w:val="ParaContinue"/>
        <w:ind w:firstLine="0"/>
        <w:rPr>
          <w:lang w:eastAsia="en-US"/>
        </w:rPr>
      </w:pPr>
    </w:p>
    <w:p w14:paraId="5C5B78D2" w14:textId="194F6D1F" w:rsidR="00912BCD" w:rsidRDefault="00912BCD" w:rsidP="00912BCD">
      <w:pPr>
        <w:pStyle w:val="ParaContinue"/>
        <w:ind w:firstLine="0"/>
        <w:rPr>
          <w:lang w:eastAsia="en-US"/>
        </w:rPr>
      </w:pPr>
      <w:r>
        <w:rPr>
          <w:lang w:eastAsia="en-US"/>
        </w:rPr>
        <w:t>[</w:t>
      </w:r>
      <w:r w:rsidR="007A1D62">
        <w:rPr>
          <w:lang w:eastAsia="en-US"/>
        </w:rPr>
        <w:t>6</w:t>
      </w:r>
      <w:r>
        <w:rPr>
          <w:lang w:eastAsia="en-US"/>
        </w:rPr>
        <w:t xml:space="preserve">] Lusardi, A. de </w:t>
      </w:r>
      <w:proofErr w:type="spellStart"/>
      <w:r>
        <w:rPr>
          <w:lang w:eastAsia="en-US"/>
        </w:rPr>
        <w:t>Bassa</w:t>
      </w:r>
      <w:proofErr w:type="spellEnd"/>
      <w:r>
        <w:rPr>
          <w:lang w:eastAsia="en-US"/>
        </w:rPr>
        <w:t xml:space="preserve"> </w:t>
      </w:r>
      <w:proofErr w:type="spellStart"/>
      <w:r>
        <w:rPr>
          <w:lang w:eastAsia="en-US"/>
        </w:rPr>
        <w:t>Scheresberg</w:t>
      </w:r>
      <w:proofErr w:type="spellEnd"/>
      <w:r>
        <w:rPr>
          <w:lang w:eastAsia="en-US"/>
        </w:rPr>
        <w:t xml:space="preserve">, C., &amp; </w:t>
      </w:r>
      <w:proofErr w:type="spellStart"/>
      <w:r>
        <w:rPr>
          <w:lang w:eastAsia="en-US"/>
        </w:rPr>
        <w:t>Oggero</w:t>
      </w:r>
      <w:proofErr w:type="spellEnd"/>
      <w:r>
        <w:rPr>
          <w:lang w:eastAsia="en-US"/>
        </w:rPr>
        <w:t xml:space="preserve">, N. 2014. Student loan debt in the US: AN analysis of the 2015 NFCS data. The Institute of College Access and Success. Student Debt and the Class of, 2015. Retrieved August 1, 2022, from </w:t>
      </w:r>
      <w:hyperlink r:id="rId12" w:history="1">
        <w:r w:rsidRPr="00FD79AF">
          <w:rPr>
            <w:rStyle w:val="Hyperlink"/>
            <w:lang w:eastAsia="en-US"/>
          </w:rPr>
          <w:t>https://gflec.org/wp-content/uploads/2016/11/GFLEC-Brief-Student-loan-debt.pdf</w:t>
        </w:r>
      </w:hyperlink>
    </w:p>
    <w:p w14:paraId="7C0E84D3" w14:textId="4E527483" w:rsidR="00912BCD" w:rsidRDefault="00912BCD" w:rsidP="00912BCD">
      <w:pPr>
        <w:pStyle w:val="ParaContinue"/>
        <w:ind w:firstLine="0"/>
        <w:rPr>
          <w:lang w:eastAsia="en-US"/>
        </w:rPr>
      </w:pPr>
      <w:r>
        <w:rPr>
          <w:lang w:eastAsia="en-US"/>
        </w:rPr>
        <w:t xml:space="preserve">This article goes more in-depth about student loan debt solutions. It analyses the huge student loan debt amount, the scholarships or financial aid available and then outside options. The paper concludes there aren’t enough sufficient options to help assists with student loan debt. </w:t>
      </w:r>
    </w:p>
    <w:p w14:paraId="02D943D9" w14:textId="58030C5C" w:rsidR="00912BCD" w:rsidRDefault="00912BCD" w:rsidP="00912BCD">
      <w:pPr>
        <w:pStyle w:val="ParaContinue"/>
        <w:ind w:firstLine="0"/>
        <w:rPr>
          <w:lang w:eastAsia="en-US"/>
        </w:rPr>
      </w:pPr>
    </w:p>
    <w:p w14:paraId="07FE112C" w14:textId="1719FBC8" w:rsidR="00912BCD" w:rsidRDefault="00912BCD" w:rsidP="00912BCD">
      <w:pPr>
        <w:pStyle w:val="ParaContinue"/>
        <w:ind w:firstLine="0"/>
        <w:rPr>
          <w:lang w:eastAsia="en-US"/>
        </w:rPr>
      </w:pPr>
      <w:r>
        <w:rPr>
          <w:lang w:eastAsia="en-US"/>
        </w:rPr>
        <w:t>[</w:t>
      </w:r>
      <w:r w:rsidR="007A1D62">
        <w:rPr>
          <w:lang w:eastAsia="en-US"/>
        </w:rPr>
        <w:t>7</w:t>
      </w:r>
      <w:r>
        <w:rPr>
          <w:lang w:eastAsia="en-US"/>
        </w:rPr>
        <w:t xml:space="preserve">] </w:t>
      </w:r>
      <w:proofErr w:type="spellStart"/>
      <w:r>
        <w:rPr>
          <w:lang w:eastAsia="en-US"/>
        </w:rPr>
        <w:t>Quidlin</w:t>
      </w:r>
      <w:proofErr w:type="spellEnd"/>
      <w:r>
        <w:rPr>
          <w:lang w:eastAsia="en-US"/>
        </w:rPr>
        <w:t xml:space="preserve">, N., </w:t>
      </w:r>
      <w:proofErr w:type="spellStart"/>
      <w:r>
        <w:rPr>
          <w:lang w:eastAsia="en-US"/>
        </w:rPr>
        <w:t>Rudel</w:t>
      </w:r>
      <w:proofErr w:type="spellEnd"/>
      <w:r>
        <w:rPr>
          <w:lang w:eastAsia="en-US"/>
        </w:rPr>
        <w:t xml:space="preserve">, D., 2015. Responsibility or Liability&gt; Student Loan Debt </w:t>
      </w:r>
      <w:proofErr w:type="gramStart"/>
      <w:r>
        <w:rPr>
          <w:lang w:eastAsia="en-US"/>
        </w:rPr>
        <w:t>an</w:t>
      </w:r>
      <w:proofErr w:type="gramEnd"/>
      <w:r>
        <w:rPr>
          <w:lang w:eastAsia="en-US"/>
        </w:rPr>
        <w:t xml:space="preserve"> Time Use in College. Social Forces, Volume 94, Issue 2, Pages 589-614. Retrieved August 1, 2022, from </w:t>
      </w:r>
      <w:hyperlink r:id="rId13" w:history="1">
        <w:r w:rsidRPr="00FD79AF">
          <w:rPr>
            <w:rStyle w:val="Hyperlink"/>
            <w:lang w:eastAsia="en-US"/>
          </w:rPr>
          <w:t>https://doi.org/10.1093/sf/sov053</w:t>
        </w:r>
      </w:hyperlink>
    </w:p>
    <w:p w14:paraId="284EE6C7" w14:textId="40316E4C" w:rsidR="00912BCD" w:rsidRDefault="00912BCD" w:rsidP="00912BCD">
      <w:pPr>
        <w:pStyle w:val="ParaContinue"/>
        <w:ind w:firstLine="0"/>
        <w:rPr>
          <w:lang w:eastAsia="en-US"/>
        </w:rPr>
      </w:pPr>
      <w:r>
        <w:rPr>
          <w:lang w:eastAsia="en-US"/>
        </w:rPr>
        <w:t xml:space="preserve">This article covers if student loans are a good financial decision. If an individual will need to take out student loans to attend school, are they worth the burden for the education they receive in return? Like everything there </w:t>
      </w:r>
      <w:proofErr w:type="gramStart"/>
      <w:r>
        <w:rPr>
          <w:lang w:eastAsia="en-US"/>
        </w:rPr>
        <w:t>is  a</w:t>
      </w:r>
      <w:proofErr w:type="gramEnd"/>
      <w:r>
        <w:rPr>
          <w:lang w:eastAsia="en-US"/>
        </w:rPr>
        <w:t xml:space="preserve"> number. Some people may consider a degree wroth the loan debt dependent on their degree field and securing a job post-grad. </w:t>
      </w:r>
    </w:p>
    <w:p w14:paraId="16C983B3" w14:textId="77777777" w:rsidR="00912BCD" w:rsidRPr="00912BCD" w:rsidRDefault="00912BCD" w:rsidP="00912BCD">
      <w:pPr>
        <w:pStyle w:val="ParaContinue"/>
        <w:ind w:firstLine="0"/>
        <w:rPr>
          <w:lang w:eastAsia="en-US"/>
        </w:rPr>
      </w:pPr>
    </w:p>
    <w:p w14:paraId="74D7936B" w14:textId="5ADCE000" w:rsidR="004C40EB" w:rsidRDefault="00D83CA6" w:rsidP="004C40EB">
      <w:pPr>
        <w:pStyle w:val="Para"/>
        <w:ind w:firstLine="0"/>
        <w:rPr>
          <w:lang w:eastAsia="en-US"/>
        </w:rPr>
      </w:pPr>
      <w:r>
        <w:rPr>
          <w:lang w:eastAsia="en-US"/>
        </w:rPr>
        <w:t>[</w:t>
      </w:r>
      <w:r w:rsidR="007A1D62">
        <w:rPr>
          <w:lang w:eastAsia="en-US"/>
        </w:rPr>
        <w:t>8</w:t>
      </w:r>
      <w:r>
        <w:rPr>
          <w:lang w:eastAsia="en-US"/>
        </w:rPr>
        <w:t xml:space="preserve">] Ratcliffe, C., McKernan, S.M. 2016. Forever in Your Debt: Who has Student loan Debt, and Who’s </w:t>
      </w:r>
      <w:proofErr w:type="gramStart"/>
      <w:r>
        <w:rPr>
          <w:lang w:eastAsia="en-US"/>
        </w:rPr>
        <w:t>Worried?.</w:t>
      </w:r>
      <w:proofErr w:type="gramEnd"/>
      <w:r>
        <w:rPr>
          <w:lang w:eastAsia="en-US"/>
        </w:rPr>
        <w:t xml:space="preserve"> Urban Institute. </w:t>
      </w:r>
      <w:r w:rsidR="004C40EB">
        <w:rPr>
          <w:lang w:eastAsia="en-US"/>
        </w:rPr>
        <w:t xml:space="preserve">Retrieved August 1, 2022, from </w:t>
      </w:r>
      <w:r w:rsidR="004C40EB" w:rsidRPr="004C40EB">
        <w:rPr>
          <w:lang w:eastAsia="en-US"/>
        </w:rPr>
        <w:t>https://policycommons.net/artifacts/633101/forever-in-your-debt/1614385/ on 11 Aug 2022. CID: 20.500.12592/kwjs06</w:t>
      </w:r>
    </w:p>
    <w:p w14:paraId="6B3D02E8" w14:textId="4C4CAD4A" w:rsidR="00D83CA6" w:rsidRDefault="004C40EB" w:rsidP="004C40EB">
      <w:pPr>
        <w:pStyle w:val="Para"/>
        <w:ind w:firstLine="0"/>
      </w:pPr>
      <w:r w:rsidRPr="004C40EB">
        <w:t xml:space="preserve">Ratcliffe and McKernan’s paper helped me better understand the individuals effected by student loan debt. While student loan debt can </w:t>
      </w:r>
      <w:proofErr w:type="gramStart"/>
      <w:r w:rsidRPr="004C40EB">
        <w:t>effect</w:t>
      </w:r>
      <w:proofErr w:type="gramEnd"/>
      <w:r w:rsidRPr="004C40EB">
        <w:t xml:space="preserve"> anyone who attends a school where fees are due, specific groups are effected worse than others. Specific races, like Hispanic students, tend to have more student loan debt than Caucasian students.  The authors identify other minority groups like single-parent households and women who are more likely to have student loan debt.</w:t>
      </w:r>
    </w:p>
    <w:p w14:paraId="220A3E43" w14:textId="7E035CC3" w:rsidR="00912BCD" w:rsidRDefault="00912BCD" w:rsidP="00912BCD">
      <w:pPr>
        <w:pStyle w:val="ParaContinue"/>
        <w:ind w:firstLine="0"/>
        <w:rPr>
          <w:lang w:eastAsia="en-US"/>
        </w:rPr>
      </w:pPr>
    </w:p>
    <w:p w14:paraId="620AAF88" w14:textId="668A509D" w:rsidR="00912BCD" w:rsidRDefault="00912BCD" w:rsidP="00912BCD">
      <w:pPr>
        <w:pStyle w:val="ParaContinue"/>
        <w:ind w:firstLine="0"/>
        <w:rPr>
          <w:lang w:eastAsia="en-US"/>
        </w:rPr>
      </w:pPr>
      <w:r>
        <w:rPr>
          <w:lang w:eastAsia="en-US"/>
        </w:rPr>
        <w:t>[</w:t>
      </w:r>
      <w:r w:rsidR="007A1D62">
        <w:rPr>
          <w:lang w:eastAsia="en-US"/>
        </w:rPr>
        <w:t>9</w:t>
      </w:r>
      <w:r>
        <w:rPr>
          <w:lang w:eastAsia="en-US"/>
        </w:rPr>
        <w:t xml:space="preserve">] Robb, C.A., Chatterjee, S., Porto, N., et al. The influence of Student Loan Debt on Financial Satisfaction. J Fam Econ </w:t>
      </w:r>
      <w:proofErr w:type="spellStart"/>
      <w:r>
        <w:rPr>
          <w:lang w:eastAsia="en-US"/>
        </w:rPr>
        <w:t>Iss</w:t>
      </w:r>
      <w:proofErr w:type="spellEnd"/>
      <w:r>
        <w:rPr>
          <w:lang w:eastAsia="en-US"/>
        </w:rPr>
        <w:t xml:space="preserve"> 40, 51-73. 2019. Retrieved August 1, 2022, from </w:t>
      </w:r>
      <w:hyperlink r:id="rId14" w:history="1">
        <w:r w:rsidRPr="00FD79AF">
          <w:rPr>
            <w:rStyle w:val="Hyperlink"/>
            <w:lang w:eastAsia="en-US"/>
          </w:rPr>
          <w:t>https://doi.org/10.1007/s10834-018-9599-y</w:t>
        </w:r>
      </w:hyperlink>
    </w:p>
    <w:p w14:paraId="289BDF26" w14:textId="3423AF26" w:rsidR="00912BCD" w:rsidRPr="00912BCD" w:rsidRDefault="00912BCD" w:rsidP="00912BCD">
      <w:pPr>
        <w:pStyle w:val="ParaContinue"/>
        <w:ind w:firstLine="0"/>
        <w:rPr>
          <w:lang w:eastAsia="en-US"/>
        </w:rPr>
      </w:pPr>
      <w:r>
        <w:rPr>
          <w:lang w:eastAsia="en-US"/>
        </w:rPr>
        <w:t xml:space="preserve">From this article I learned about the long-term effects of student loans. Having student loan debt and owing another entity money for a long period of times effects the way individuals treat money. The feeling of owing someone else money for an extended time creates unhappiness and negativity around money and loans. </w:t>
      </w:r>
    </w:p>
    <w:p w14:paraId="4DCFAE58" w14:textId="33167072" w:rsidR="00D83CA6" w:rsidRDefault="007A1D62" w:rsidP="005B434B">
      <w:pPr>
        <w:pStyle w:val="ReferenceHead"/>
        <w:rPr>
          <w:b w:val="0"/>
          <w:bCs/>
        </w:rPr>
      </w:pPr>
      <w:r w:rsidRPr="007A1D62">
        <w:rPr>
          <w:b w:val="0"/>
          <w:bCs/>
        </w:rPr>
        <w:t>[</w:t>
      </w:r>
      <w:r>
        <w:rPr>
          <w:b w:val="0"/>
          <w:bCs/>
        </w:rPr>
        <w:t>10</w:t>
      </w:r>
      <w:r w:rsidRPr="007A1D62">
        <w:rPr>
          <w:b w:val="0"/>
          <w:bCs/>
        </w:rPr>
        <w:t>] Velez</w:t>
      </w:r>
      <w:r>
        <w:rPr>
          <w:b w:val="0"/>
          <w:bCs/>
        </w:rPr>
        <w:t xml:space="preserve">, E., </w:t>
      </w:r>
      <w:proofErr w:type="spellStart"/>
      <w:r>
        <w:rPr>
          <w:b w:val="0"/>
          <w:bCs/>
        </w:rPr>
        <w:t>Cominole</w:t>
      </w:r>
      <w:proofErr w:type="spellEnd"/>
      <w:r>
        <w:rPr>
          <w:b w:val="0"/>
          <w:bCs/>
        </w:rPr>
        <w:t xml:space="preserve">, M., Bentz, A. 2019. Debt Burden after college: the effect of student loan debt on graduates’ </w:t>
      </w:r>
      <w:proofErr w:type="gramStart"/>
      <w:r>
        <w:rPr>
          <w:b w:val="0"/>
          <w:bCs/>
        </w:rPr>
        <w:t>employment ,</w:t>
      </w:r>
      <w:proofErr w:type="gramEnd"/>
      <w:r>
        <w:rPr>
          <w:b w:val="0"/>
          <w:bCs/>
        </w:rPr>
        <w:t xml:space="preserve"> additional schooling, family formation, and home ownership. Education Economics. 27(2), 186-206. Retrieved August 1, 2022, from </w:t>
      </w:r>
      <w:hyperlink r:id="rId15" w:history="1">
        <w:r w:rsidRPr="00FD79AF">
          <w:rPr>
            <w:rStyle w:val="Hyperlink"/>
            <w:rFonts w:ascii="Linux Biolinum O" w:hAnsi="Linux Biolinum O" w:cs="Linux Biolinum O"/>
            <w:b w:val="0"/>
            <w:bCs/>
          </w:rPr>
          <w:t>https://www.tandfonline.com/doi/abs/10.1080/09645292.2018.1541167</w:t>
        </w:r>
      </w:hyperlink>
    </w:p>
    <w:p w14:paraId="62AA5A45" w14:textId="5124A10E" w:rsidR="007A1D62" w:rsidRPr="007A1D62" w:rsidRDefault="007A1D62" w:rsidP="007A1D62">
      <w:pPr>
        <w:pStyle w:val="AckPara"/>
        <w:rPr>
          <w:lang w:eastAsia="en-US"/>
        </w:rPr>
      </w:pPr>
      <w:r>
        <w:rPr>
          <w:lang w:eastAsia="en-US"/>
        </w:rPr>
        <w:t xml:space="preserve">This Article covers post-grad life with student loan debt. Having student loan debt influences your family dynamic, job urgency and stability and your ability to make other large financial commitments – like a car loan. </w:t>
      </w:r>
    </w:p>
    <w:p w14:paraId="11203B7C" w14:textId="77777777" w:rsidR="00D83CA6" w:rsidRDefault="00D83CA6" w:rsidP="005B434B">
      <w:pPr>
        <w:pStyle w:val="ReferenceHead"/>
      </w:pPr>
    </w:p>
    <w:p w14:paraId="081902EB" w14:textId="4291A273" w:rsidR="00D83CA6" w:rsidRDefault="00D83CA6" w:rsidP="00D83CA6">
      <w:pPr>
        <w:pStyle w:val="AckPara"/>
        <w:rPr>
          <w:lang w:eastAsia="en-US"/>
        </w:rPr>
      </w:pPr>
    </w:p>
    <w:p w14:paraId="6811EEA4" w14:textId="77777777" w:rsidR="00D83CA6" w:rsidRPr="00D83CA6" w:rsidRDefault="00D83CA6" w:rsidP="00D83CA6">
      <w:pPr>
        <w:pStyle w:val="ParaContinue"/>
        <w:rPr>
          <w:lang w:eastAsia="en-US"/>
        </w:rPr>
      </w:pPr>
    </w:p>
    <w:p w14:paraId="59F98B3D" w14:textId="79798634" w:rsidR="005B434B" w:rsidRDefault="005B434B" w:rsidP="005B434B">
      <w:pPr>
        <w:pStyle w:val="ReferenceHead"/>
      </w:pPr>
      <w:r>
        <w:t>REFERENCES</w:t>
      </w:r>
    </w:p>
    <w:p w14:paraId="555F9593" w14:textId="3BF156A4" w:rsidR="005B434B" w:rsidRDefault="004968F8" w:rsidP="005B434B">
      <w:pPr>
        <w:pStyle w:val="Bibentry"/>
      </w:pPr>
      <w:r>
        <w:t>Federal Student Aid</w:t>
      </w:r>
      <w:r w:rsidR="005B434B">
        <w:t xml:space="preserve">. </w:t>
      </w:r>
      <w:r>
        <w:t>(</w:t>
      </w:r>
      <w:proofErr w:type="spellStart"/>
      <w:r>
        <w:t>n.d</w:t>
      </w:r>
      <w:proofErr w:type="spellEnd"/>
      <w:r>
        <w:t>)</w:t>
      </w:r>
      <w:r w:rsidR="005B434B">
        <w:t xml:space="preserve">. </w:t>
      </w:r>
      <w:r>
        <w:t>About Us</w:t>
      </w:r>
      <w:r w:rsidR="005B434B">
        <w:t xml:space="preserve">. </w:t>
      </w:r>
      <w:r>
        <w:t>Federal Student Aid. Retrieved July 7, 2022, from</w:t>
      </w:r>
      <w:r w:rsidR="005B434B">
        <w:t xml:space="preserve">. </w:t>
      </w:r>
      <w:r w:rsidRPr="004968F8">
        <w:t>https://studentaid.gov/about</w:t>
      </w:r>
    </w:p>
    <w:p w14:paraId="6A4E5E02" w14:textId="6A505D8E" w:rsidR="005B434B" w:rsidRPr="00FD48C2" w:rsidRDefault="004968F8" w:rsidP="00C708A3">
      <w:pPr>
        <w:pStyle w:val="Bibentry"/>
      </w:pPr>
      <w:r>
        <w:t xml:space="preserve">Federal Student </w:t>
      </w:r>
      <w:proofErr w:type="gramStart"/>
      <w:r>
        <w:t>Aid.(</w:t>
      </w:r>
      <w:proofErr w:type="gramEnd"/>
      <w:r>
        <w:t>2014-2021)</w:t>
      </w:r>
      <w:r w:rsidR="005B434B" w:rsidRPr="00FD48C2">
        <w:t xml:space="preserve">. </w:t>
      </w:r>
      <w:r>
        <w:t>Studen</w:t>
      </w:r>
      <w:r w:rsidR="005B434B" w:rsidRPr="00FD48C2">
        <w:t>t</w:t>
      </w:r>
      <w:r>
        <w:t xml:space="preserve"> Financial Report FY 2014-2021</w:t>
      </w:r>
      <w:r w:rsidR="005B434B" w:rsidRPr="00FD48C2">
        <w:t>.</w:t>
      </w:r>
      <w:r>
        <w:t>Rep p. 1-172.</w:t>
      </w:r>
      <w:r w:rsidR="005B434B" w:rsidRPr="00FD48C2">
        <w:t xml:space="preserve"> Retrieved </w:t>
      </w:r>
      <w:r>
        <w:t>July</w:t>
      </w:r>
      <w:r w:rsidR="005B434B" w:rsidRPr="00FD48C2">
        <w:t xml:space="preserve"> 7, </w:t>
      </w:r>
      <w:proofErr w:type="gramStart"/>
      <w:r w:rsidR="005B434B" w:rsidRPr="00FD48C2">
        <w:t>20</w:t>
      </w:r>
      <w:r>
        <w:t>22</w:t>
      </w:r>
      <w:proofErr w:type="gramEnd"/>
      <w:r w:rsidR="005B434B" w:rsidRPr="00FD48C2">
        <w:t xml:space="preserve"> from </w:t>
      </w:r>
      <w:r w:rsidRPr="004968F8">
        <w:t>https://studentaid.gov/data-center/business-info/strategic-planning-and-reporting#performance-reports</w:t>
      </w:r>
      <w:r w:rsidR="005B434B" w:rsidRPr="007B7078">
        <w:t xml:space="preserve">Martin A. </w:t>
      </w:r>
      <w:proofErr w:type="spellStart"/>
      <w:r w:rsidR="005B434B" w:rsidRPr="007B7078">
        <w:t>Fischler</w:t>
      </w:r>
      <w:proofErr w:type="spellEnd"/>
      <w:r w:rsidR="005B434B" w:rsidRPr="007B7078">
        <w:t xml:space="preserve"> and Robert C. </w:t>
      </w:r>
      <w:proofErr w:type="spellStart"/>
      <w:r w:rsidR="005B434B" w:rsidRPr="007B7078">
        <w:t>Bolles</w:t>
      </w:r>
      <w:proofErr w:type="spellEnd"/>
      <w:r w:rsidR="005B434B" w:rsidRPr="007B7078">
        <w:t xml:space="preserve">. 1981. Random sample consensus: a paradigm for model fitting with applications to image analysis and automated cartography. </w:t>
      </w:r>
      <w:proofErr w:type="spellStart"/>
      <w:r w:rsidR="005B434B" w:rsidRPr="007B7078">
        <w:t>Commun</w:t>
      </w:r>
      <w:proofErr w:type="spellEnd"/>
      <w:r w:rsidR="005B434B" w:rsidRPr="007B7078">
        <w:t xml:space="preserve">. ACM 24, 6 (June 1981), 381–395. https://doi.org/10.1145/358669.358692 </w:t>
      </w:r>
    </w:p>
    <w:p w14:paraId="58EF5B83" w14:textId="48CA3D58" w:rsidR="00D83CA6" w:rsidRDefault="00D83CA6" w:rsidP="005B434B">
      <w:pPr>
        <w:pStyle w:val="Bibentry"/>
      </w:pPr>
      <w:r>
        <w:t xml:space="preserve">Hanson, Melanie. 2022. Average Student Loan Deby </w:t>
      </w:r>
      <w:proofErr w:type="gramStart"/>
      <w:r>
        <w:t>By</w:t>
      </w:r>
      <w:proofErr w:type="gramEnd"/>
      <w:r>
        <w:t xml:space="preserve"> Year. EducationData.org. Retrieved June 30, </w:t>
      </w:r>
      <w:proofErr w:type="gramStart"/>
      <w:r>
        <w:t>2022</w:t>
      </w:r>
      <w:proofErr w:type="gramEnd"/>
      <w:r>
        <w:t xml:space="preserve"> from </w:t>
      </w:r>
      <w:r w:rsidRPr="00D83CA6">
        <w:t>https://educationdata.org/average-student-loan-debt-by-year</w:t>
      </w:r>
    </w:p>
    <w:p w14:paraId="5B796F1B" w14:textId="0EFB476A" w:rsidR="005B434B" w:rsidRPr="00FD48C2" w:rsidRDefault="004968F8" w:rsidP="005B434B">
      <w:pPr>
        <w:pStyle w:val="Bibentry"/>
      </w:pPr>
      <w:r>
        <w:t>Hanson, M, &amp; Checked, F</w:t>
      </w:r>
      <w:r w:rsidR="005B434B" w:rsidRPr="00FD48C2">
        <w:t>. 20</w:t>
      </w:r>
      <w:r>
        <w:t>22</w:t>
      </w:r>
      <w:r w:rsidR="005B434B" w:rsidRPr="00FD48C2">
        <w:t xml:space="preserve">. </w:t>
      </w:r>
      <w:r>
        <w:t>Student Loan Debt Stati</w:t>
      </w:r>
      <w:r w:rsidR="00D83CA6">
        <w:t xml:space="preserve">stics [2022]: Average + total debt. Education Data Initiative. Retrieved July 7, </w:t>
      </w:r>
      <w:proofErr w:type="gramStart"/>
      <w:r w:rsidR="00D83CA6">
        <w:t>2022</w:t>
      </w:r>
      <w:proofErr w:type="gramEnd"/>
      <w:r w:rsidR="00D83CA6">
        <w:t xml:space="preserve"> from </w:t>
      </w:r>
      <w:r w:rsidR="00D83CA6" w:rsidRPr="00D83CA6">
        <w:t>https://educationdata.org/student-loan-debt-statistics#:~:text=43.4%20million%20borrowers%20have%20federal,financial%20quarter%20(2021%20Q4).</w:t>
      </w:r>
    </w:p>
    <w:p w14:paraId="5CA84CBA" w14:textId="37EF7326" w:rsidR="005B434B" w:rsidRPr="00FD48C2" w:rsidRDefault="00D83CA6" w:rsidP="005B434B">
      <w:pPr>
        <w:pStyle w:val="Bibentry"/>
      </w:pPr>
      <w:r>
        <w:t xml:space="preserve">Wisconsin, M. A. U. of </w:t>
      </w:r>
      <w:proofErr w:type="spellStart"/>
      <w:r>
        <w:t>Aschenbrener</w:t>
      </w:r>
      <w:proofErr w:type="spellEnd"/>
      <w:r>
        <w:t>, M., &amp; Wisconsin, U. (n.d.)</w:t>
      </w:r>
      <w:r w:rsidR="005B434B" w:rsidRPr="00FD48C2">
        <w:t xml:space="preserve">. </w:t>
      </w:r>
      <w:r>
        <w:t xml:space="preserve">Federal Financial Aid Policy: Then, now, and in the future. Retrieved July 7, 2022, from </w:t>
      </w:r>
      <w:r w:rsidRPr="00D83CA6">
        <w:t>https://www.naspa.org/blog/federal-financial-aid-policy-then-now-and-in-the-future#:~:</w:t>
      </w:r>
      <w:r>
        <w:t xml:space="preserve"> </w:t>
      </w:r>
      <w:r w:rsidRPr="00D83CA6">
        <w:t>text=Since%201965%20federal%20aid%20</w:t>
      </w:r>
      <w:proofErr w:type="gramStart"/>
      <w:r w:rsidRPr="00D83CA6">
        <w:t>to,credits</w:t>
      </w:r>
      <w:proofErr w:type="gramEnd"/>
      <w:r w:rsidRPr="00D83CA6">
        <w:t>%20and%20other%20state%20programs.</w:t>
      </w:r>
    </w:p>
    <w:p w14:paraId="3F946751" w14:textId="0500B1EA" w:rsidR="005B434B" w:rsidRDefault="00D83CA6" w:rsidP="005B434B">
      <w:pPr>
        <w:pStyle w:val="Bibentry"/>
      </w:pPr>
      <w:proofErr w:type="spellStart"/>
      <w:r>
        <w:t>Yager</w:t>
      </w:r>
      <w:proofErr w:type="spellEnd"/>
      <w:r>
        <w:t xml:space="preserve">, A.M. (2020) Where do federal student loans come from? US News. Retrieved July 8, 2022, </w:t>
      </w:r>
      <w:proofErr w:type="gramStart"/>
      <w:r>
        <w:t xml:space="preserve">from </w:t>
      </w:r>
      <w:r w:rsidR="005B434B">
        <w:t xml:space="preserve"> </w:t>
      </w:r>
      <w:r w:rsidRPr="00D83CA6">
        <w:t>https://www.usnews.com/education/blogs/student-loan-ranger/articles/where-do-federal-student-loans-come-from</w:t>
      </w:r>
      <w:proofErr w:type="gramEnd"/>
    </w:p>
    <w:p w14:paraId="320BADF3" w14:textId="06B61B4E" w:rsidR="005B434B" w:rsidRPr="00B1638F" w:rsidRDefault="005B434B" w:rsidP="005B434B">
      <w:pPr>
        <w:pStyle w:val="Para"/>
      </w:pPr>
      <w:bookmarkStart w:id="1" w:name="sbmn"/>
      <w:bookmarkEnd w:id="1"/>
    </w:p>
    <w:sectPr w:rsidR="005B434B" w:rsidRPr="00B1638F" w:rsidSect="000C6221">
      <w:footerReference w:type="default" r:id="rId16"/>
      <w:footerReference w:type="first" r:id="rId1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DF3C9" w14:textId="77777777" w:rsidR="009A11D2" w:rsidRDefault="009A11D2" w:rsidP="005B434B">
      <w:pPr>
        <w:spacing w:after="0" w:line="240" w:lineRule="auto"/>
      </w:pPr>
      <w:r>
        <w:separator/>
      </w:r>
    </w:p>
  </w:endnote>
  <w:endnote w:type="continuationSeparator" w:id="0">
    <w:p w14:paraId="09FA727D" w14:textId="77777777" w:rsidR="009A11D2" w:rsidRDefault="009A11D2"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Segoe UI Emoji">
    <w:panose1 w:val="020B0502040204020203"/>
    <w:charset w:val="00"/>
    <w:family w:val="swiss"/>
    <w:pitch w:val="variable"/>
    <w:sig w:usb0="00000003" w:usb1="02000000" w:usb2="00000000" w:usb3="00000000" w:csb0="00000001" w:csb1="00000000"/>
  </w:font>
  <w:font w:name="non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1C64"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DFF4F" w14:textId="77777777" w:rsidR="000C6221" w:rsidRDefault="009A11D2">
    <w:pPr>
      <w:pStyle w:val="Footer"/>
    </w:pPr>
  </w:p>
  <w:p w14:paraId="5BD83664" w14:textId="77777777" w:rsidR="000C6221" w:rsidRDefault="009A11D2">
    <w:pPr>
      <w:pStyle w:val="Footer"/>
    </w:pPr>
  </w:p>
  <w:p w14:paraId="10AB791E" w14:textId="77777777" w:rsidR="000C6221" w:rsidRDefault="009A11D2">
    <w:pPr>
      <w:pStyle w:val="Footer"/>
    </w:pPr>
  </w:p>
  <w:p w14:paraId="1D521EC3" w14:textId="77777777" w:rsidR="000C6221" w:rsidRDefault="009A11D2">
    <w:pPr>
      <w:pStyle w:val="Footer"/>
    </w:pPr>
  </w:p>
  <w:p w14:paraId="7272CE6B" w14:textId="77777777" w:rsidR="000C6221" w:rsidRDefault="009A11D2">
    <w:pPr>
      <w:pStyle w:val="Footer"/>
    </w:pPr>
  </w:p>
  <w:p w14:paraId="3965C5D3" w14:textId="77777777" w:rsidR="000C6221" w:rsidRDefault="009A11D2">
    <w:pPr>
      <w:pStyle w:val="Footer"/>
    </w:pPr>
  </w:p>
  <w:p w14:paraId="1062F94F" w14:textId="77777777" w:rsidR="000C6221" w:rsidRDefault="009A11D2">
    <w:pPr>
      <w:pStyle w:val="Footer"/>
    </w:pPr>
  </w:p>
  <w:p w14:paraId="40031461" w14:textId="77777777" w:rsidR="000C6221" w:rsidRDefault="009A11D2">
    <w:pPr>
      <w:pStyle w:val="Footer"/>
    </w:pPr>
  </w:p>
  <w:p w14:paraId="5131AE6B" w14:textId="77777777" w:rsidR="000C6221" w:rsidRDefault="009A11D2">
    <w:pPr>
      <w:pStyle w:val="Footer"/>
    </w:pPr>
  </w:p>
  <w:p w14:paraId="79FD2F43" w14:textId="77777777" w:rsidR="000C6221" w:rsidRDefault="009A11D2">
    <w:pPr>
      <w:pStyle w:val="Footer"/>
    </w:pPr>
  </w:p>
  <w:p w14:paraId="010B08DE" w14:textId="77777777" w:rsidR="000C6221" w:rsidRDefault="009A11D2">
    <w:pPr>
      <w:pStyle w:val="Footer"/>
    </w:pPr>
  </w:p>
  <w:p w14:paraId="1F5FD2F0" w14:textId="77777777" w:rsidR="000C6221" w:rsidRDefault="009A11D2">
    <w:pPr>
      <w:pStyle w:val="Footer"/>
    </w:pPr>
  </w:p>
  <w:p w14:paraId="3A2C140F" w14:textId="77777777" w:rsidR="000C6221" w:rsidRDefault="009A11D2">
    <w:pPr>
      <w:pStyle w:val="Footer"/>
    </w:pPr>
  </w:p>
  <w:p w14:paraId="480A64BE" w14:textId="77777777" w:rsidR="000C6221" w:rsidRDefault="009A11D2">
    <w:pPr>
      <w:pStyle w:val="Footer"/>
    </w:pPr>
  </w:p>
  <w:p w14:paraId="51C7B4B9" w14:textId="77777777" w:rsidR="000C6221" w:rsidRDefault="009A11D2">
    <w:pPr>
      <w:pStyle w:val="Footer"/>
    </w:pPr>
  </w:p>
  <w:p w14:paraId="756D0607" w14:textId="77777777" w:rsidR="000C6221" w:rsidRDefault="009A11D2">
    <w:pPr>
      <w:pStyle w:val="Footer"/>
    </w:pPr>
  </w:p>
  <w:p w14:paraId="728D3F2A" w14:textId="77777777" w:rsidR="001E2D05" w:rsidRDefault="009A1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DC15" w14:textId="77777777" w:rsidR="009A11D2" w:rsidRDefault="009A11D2" w:rsidP="005B434B">
      <w:pPr>
        <w:spacing w:after="0" w:line="240" w:lineRule="auto"/>
      </w:pPr>
      <w:r>
        <w:separator/>
      </w:r>
    </w:p>
  </w:footnote>
  <w:footnote w:type="continuationSeparator" w:id="0">
    <w:p w14:paraId="5A502E64" w14:textId="77777777" w:rsidR="009A11D2" w:rsidRDefault="009A11D2"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92FD6"/>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4968F8"/>
    <w:rsid w:val="004C40EB"/>
    <w:rsid w:val="00547F6A"/>
    <w:rsid w:val="00563BE8"/>
    <w:rsid w:val="005B434B"/>
    <w:rsid w:val="005C303E"/>
    <w:rsid w:val="005C3913"/>
    <w:rsid w:val="006208A7"/>
    <w:rsid w:val="006B5C30"/>
    <w:rsid w:val="00720F9D"/>
    <w:rsid w:val="00737F1F"/>
    <w:rsid w:val="007A1D62"/>
    <w:rsid w:val="007B36F5"/>
    <w:rsid w:val="007B4B12"/>
    <w:rsid w:val="007E20EF"/>
    <w:rsid w:val="0081437E"/>
    <w:rsid w:val="00854D22"/>
    <w:rsid w:val="00884E06"/>
    <w:rsid w:val="008D14C0"/>
    <w:rsid w:val="00912BCD"/>
    <w:rsid w:val="00920182"/>
    <w:rsid w:val="009641B8"/>
    <w:rsid w:val="009A11D2"/>
    <w:rsid w:val="009B76D7"/>
    <w:rsid w:val="009E3813"/>
    <w:rsid w:val="009F684F"/>
    <w:rsid w:val="00A27A9F"/>
    <w:rsid w:val="00A3685D"/>
    <w:rsid w:val="00A55475"/>
    <w:rsid w:val="00A6011A"/>
    <w:rsid w:val="00AD6C5E"/>
    <w:rsid w:val="00AF5390"/>
    <w:rsid w:val="00B40EB1"/>
    <w:rsid w:val="00B657BD"/>
    <w:rsid w:val="00B944B4"/>
    <w:rsid w:val="00BD04E6"/>
    <w:rsid w:val="00D07298"/>
    <w:rsid w:val="00D83CA6"/>
    <w:rsid w:val="00DA1CE2"/>
    <w:rsid w:val="00DB76CF"/>
    <w:rsid w:val="00E037CD"/>
    <w:rsid w:val="00E55E8D"/>
    <w:rsid w:val="00E67CDE"/>
    <w:rsid w:val="00E8234D"/>
    <w:rsid w:val="00E92194"/>
    <w:rsid w:val="00EF5BB9"/>
    <w:rsid w:val="00F07897"/>
    <w:rsid w:val="00F46728"/>
    <w:rsid w:val="00F570F1"/>
    <w:rsid w:val="00F6354E"/>
    <w:rsid w:val="00F94F4C"/>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9B31"/>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3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emoji">
    <w:name w:val="emoji"/>
    <w:basedOn w:val="DefaultParagraphFont"/>
    <w:rsid w:val="00192FD6"/>
  </w:style>
  <w:style w:type="character" w:customStyle="1" w:styleId="emoji-icon-wrap">
    <w:name w:val="emoji-icon-wrap"/>
    <w:basedOn w:val="DefaultParagraphFont"/>
    <w:rsid w:val="00192FD6"/>
  </w:style>
  <w:style w:type="character" w:styleId="UnresolvedMention">
    <w:name w:val="Unresolved Mention"/>
    <w:basedOn w:val="DefaultParagraphFont"/>
    <w:uiPriority w:val="99"/>
    <w:semiHidden/>
    <w:unhideWhenUsed/>
    <w:rsid w:val="00D83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doi.org/10.1093/sf/sov05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gflec.org/wp-content/uploads/2016/11/GFLEC-Brief-Student-loan-debt.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ric.ed.gov/?id=EJ527952" TargetMode="External"/><Relationship Id="rId5" Type="http://schemas.openxmlformats.org/officeDocument/2006/relationships/footnotes" Target="footnotes.xml"/><Relationship Id="rId15" Type="http://schemas.openxmlformats.org/officeDocument/2006/relationships/hyperlink" Target="https://www.tandfonline.com/doi/abs/10.1080/09645292.2018.1541167" TargetMode="External"/><Relationship Id="rId10" Type="http://schemas.openxmlformats.org/officeDocument/2006/relationships/hyperlink" Target="https://assets.pewresearch.org/wp-content/uploads/sites/3/2012/09/09-26-12-Student_Debt.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rofile/Sandy-Baum/publication/234628563_Life_After_Debt_Results_of_the_National_Student_Loan_Survey_Selected_Text_From_the_Final_Report/links/555e6f9508ae6f4dcc8dd75e/Life-After-Debt-Results-of-the-National-Student-Loan-Survey-Selected-Text-From-the-Final-Report.pdf" TargetMode="External"/><Relationship Id="rId14" Type="http://schemas.openxmlformats.org/officeDocument/2006/relationships/hyperlink" Target="https://doi.org/10.1007/s10834-018-9599-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Credit</a:t>
            </a:r>
            <a:r>
              <a:rPr lang="en-US" baseline="0"/>
              <a:t> Program Receivable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cat>
            <c:numRef>
              <c:f>Sheet1!$A$2</c:f>
              <c:numCache>
                <c:formatCode>General</c:formatCode>
                <c:ptCount val="1"/>
              </c:numCache>
            </c:numRef>
          </c:cat>
          <c:val>
            <c:numRef>
              <c:f>Sheet1!$B$2</c:f>
              <c:numCache>
                <c:formatCode>General</c:formatCode>
                <c:ptCount val="1"/>
              </c:numCache>
            </c:numRef>
          </c:val>
          <c:extLst>
            <c:ext xmlns:c16="http://schemas.microsoft.com/office/drawing/2014/chart" uri="{C3380CC4-5D6E-409C-BE32-E72D297353CC}">
              <c16:uniqueId val="{00000000-F97D-4029-8E69-942C8D6F8F35}"/>
            </c:ext>
          </c:extLst>
        </c:ser>
        <c:ser>
          <c:idx val="1"/>
          <c:order val="1"/>
          <c:tx>
            <c:strRef>
              <c:f>Sheet1!$C$1</c:f>
              <c:strCache>
                <c:ptCount val="1"/>
                <c:pt idx="0">
                  <c:v>2021</c:v>
                </c:pt>
              </c:strCache>
            </c:strRef>
          </c:tx>
          <c:spPr>
            <a:solidFill>
              <a:schemeClr val="accent2"/>
            </a:solidFill>
            <a:ln>
              <a:noFill/>
            </a:ln>
            <a:effectLst/>
          </c:spPr>
          <c:invertIfNegative val="0"/>
          <c:cat>
            <c:numRef>
              <c:f>Sheet1!$A$2</c:f>
              <c:numCache>
                <c:formatCode>General</c:formatCode>
                <c:ptCount val="1"/>
              </c:numCache>
            </c:numRef>
          </c:cat>
          <c:val>
            <c:numRef>
              <c:f>Sheet1!$C$2</c:f>
              <c:numCache>
                <c:formatCode>General</c:formatCode>
                <c:ptCount val="1"/>
                <c:pt idx="0">
                  <c:v>1246140</c:v>
                </c:pt>
              </c:numCache>
            </c:numRef>
          </c:val>
          <c:extLst>
            <c:ext xmlns:c16="http://schemas.microsoft.com/office/drawing/2014/chart" uri="{C3380CC4-5D6E-409C-BE32-E72D297353CC}">
              <c16:uniqueId val="{00000001-F97D-4029-8E69-942C8D6F8F35}"/>
            </c:ext>
          </c:extLst>
        </c:ser>
        <c:ser>
          <c:idx val="2"/>
          <c:order val="2"/>
          <c:tx>
            <c:strRef>
              <c:f>Sheet1!$D$1</c:f>
              <c:strCache>
                <c:ptCount val="1"/>
                <c:pt idx="0">
                  <c:v>2020</c:v>
                </c:pt>
              </c:strCache>
            </c:strRef>
          </c:tx>
          <c:spPr>
            <a:solidFill>
              <a:schemeClr val="accent3"/>
            </a:solidFill>
            <a:ln>
              <a:noFill/>
            </a:ln>
            <a:effectLst/>
          </c:spPr>
          <c:invertIfNegative val="0"/>
          <c:cat>
            <c:numRef>
              <c:f>Sheet1!$A$2</c:f>
              <c:numCache>
                <c:formatCode>General</c:formatCode>
                <c:ptCount val="1"/>
              </c:numCache>
            </c:numRef>
          </c:cat>
          <c:val>
            <c:numRef>
              <c:f>Sheet1!$D$2</c:f>
              <c:numCache>
                <c:formatCode>General</c:formatCode>
                <c:ptCount val="1"/>
                <c:pt idx="0">
                  <c:v>1246140</c:v>
                </c:pt>
              </c:numCache>
            </c:numRef>
          </c:val>
          <c:extLst>
            <c:ext xmlns:c16="http://schemas.microsoft.com/office/drawing/2014/chart" uri="{C3380CC4-5D6E-409C-BE32-E72D297353CC}">
              <c16:uniqueId val="{00000002-F97D-4029-8E69-942C8D6F8F35}"/>
            </c:ext>
          </c:extLst>
        </c:ser>
        <c:ser>
          <c:idx val="3"/>
          <c:order val="3"/>
          <c:tx>
            <c:strRef>
              <c:f>Sheet1!$E$1</c:f>
              <c:strCache>
                <c:ptCount val="1"/>
                <c:pt idx="0">
                  <c:v>2019</c:v>
                </c:pt>
              </c:strCache>
            </c:strRef>
          </c:tx>
          <c:spPr>
            <a:solidFill>
              <a:schemeClr val="accent4"/>
            </a:solidFill>
            <a:ln>
              <a:noFill/>
            </a:ln>
            <a:effectLst/>
          </c:spPr>
          <c:invertIfNegative val="0"/>
          <c:cat>
            <c:numRef>
              <c:f>Sheet1!$A$2</c:f>
              <c:numCache>
                <c:formatCode>General</c:formatCode>
                <c:ptCount val="1"/>
              </c:numCache>
            </c:numRef>
          </c:cat>
          <c:val>
            <c:numRef>
              <c:f>Sheet1!$E$2</c:f>
              <c:numCache>
                <c:formatCode>General</c:formatCode>
                <c:ptCount val="1"/>
                <c:pt idx="0">
                  <c:v>1266876</c:v>
                </c:pt>
              </c:numCache>
            </c:numRef>
          </c:val>
          <c:extLst>
            <c:ext xmlns:c16="http://schemas.microsoft.com/office/drawing/2014/chart" uri="{C3380CC4-5D6E-409C-BE32-E72D297353CC}">
              <c16:uniqueId val="{00000003-F97D-4029-8E69-942C8D6F8F35}"/>
            </c:ext>
          </c:extLst>
        </c:ser>
        <c:ser>
          <c:idx val="4"/>
          <c:order val="4"/>
          <c:tx>
            <c:strRef>
              <c:f>Sheet1!$F$1</c:f>
              <c:strCache>
                <c:ptCount val="1"/>
                <c:pt idx="0">
                  <c:v>2018</c:v>
                </c:pt>
              </c:strCache>
            </c:strRef>
          </c:tx>
          <c:spPr>
            <a:solidFill>
              <a:schemeClr val="accent5"/>
            </a:solidFill>
            <a:ln>
              <a:noFill/>
            </a:ln>
            <a:effectLst/>
          </c:spPr>
          <c:invertIfNegative val="0"/>
          <c:cat>
            <c:numRef>
              <c:f>Sheet1!$A$2</c:f>
              <c:numCache>
                <c:formatCode>General</c:formatCode>
                <c:ptCount val="1"/>
              </c:numCache>
            </c:numRef>
          </c:cat>
          <c:val>
            <c:numRef>
              <c:f>Sheet1!$F$2</c:f>
              <c:numCache>
                <c:formatCode>General</c:formatCode>
                <c:ptCount val="1"/>
                <c:pt idx="0">
                  <c:v>1285265</c:v>
                </c:pt>
              </c:numCache>
            </c:numRef>
          </c:val>
          <c:extLst>
            <c:ext xmlns:c16="http://schemas.microsoft.com/office/drawing/2014/chart" uri="{C3380CC4-5D6E-409C-BE32-E72D297353CC}">
              <c16:uniqueId val="{00000004-F97D-4029-8E69-942C8D6F8F35}"/>
            </c:ext>
          </c:extLst>
        </c:ser>
        <c:ser>
          <c:idx val="5"/>
          <c:order val="5"/>
          <c:tx>
            <c:strRef>
              <c:f>Sheet1!$G$1</c:f>
              <c:strCache>
                <c:ptCount val="1"/>
                <c:pt idx="0">
                  <c:v>2017</c:v>
                </c:pt>
              </c:strCache>
            </c:strRef>
          </c:tx>
          <c:spPr>
            <a:solidFill>
              <a:schemeClr val="accent6"/>
            </a:solidFill>
            <a:ln>
              <a:noFill/>
            </a:ln>
            <a:effectLst/>
          </c:spPr>
          <c:invertIfNegative val="0"/>
          <c:cat>
            <c:numRef>
              <c:f>Sheet1!$A$2</c:f>
              <c:numCache>
                <c:formatCode>General</c:formatCode>
                <c:ptCount val="1"/>
              </c:numCache>
            </c:numRef>
          </c:cat>
          <c:val>
            <c:numRef>
              <c:f>Sheet1!$G$2</c:f>
              <c:numCache>
                <c:formatCode>General</c:formatCode>
                <c:ptCount val="1"/>
                <c:pt idx="0">
                  <c:v>1221694</c:v>
                </c:pt>
              </c:numCache>
            </c:numRef>
          </c:val>
          <c:extLst>
            <c:ext xmlns:c16="http://schemas.microsoft.com/office/drawing/2014/chart" uri="{C3380CC4-5D6E-409C-BE32-E72D297353CC}">
              <c16:uniqueId val="{00000005-F97D-4029-8E69-942C8D6F8F35}"/>
            </c:ext>
          </c:extLst>
        </c:ser>
        <c:ser>
          <c:idx val="6"/>
          <c:order val="6"/>
          <c:tx>
            <c:strRef>
              <c:f>Sheet1!$H$1</c:f>
              <c:strCache>
                <c:ptCount val="1"/>
                <c:pt idx="0">
                  <c:v>2016</c:v>
                </c:pt>
              </c:strCache>
            </c:strRef>
          </c:tx>
          <c:spPr>
            <a:solidFill>
              <a:schemeClr val="accent1">
                <a:lumMod val="60000"/>
              </a:schemeClr>
            </a:solidFill>
            <a:ln>
              <a:noFill/>
            </a:ln>
            <a:effectLst/>
          </c:spPr>
          <c:invertIfNegative val="0"/>
          <c:cat>
            <c:numRef>
              <c:f>Sheet1!$A$2</c:f>
              <c:numCache>
                <c:formatCode>General</c:formatCode>
                <c:ptCount val="1"/>
              </c:numCache>
            </c:numRef>
          </c:cat>
          <c:val>
            <c:numRef>
              <c:f>Sheet1!$H$2</c:f>
              <c:numCache>
                <c:formatCode>General</c:formatCode>
                <c:ptCount val="1"/>
                <c:pt idx="0">
                  <c:v>1136919</c:v>
                </c:pt>
              </c:numCache>
            </c:numRef>
          </c:val>
          <c:extLst>
            <c:ext xmlns:c16="http://schemas.microsoft.com/office/drawing/2014/chart" uri="{C3380CC4-5D6E-409C-BE32-E72D297353CC}">
              <c16:uniqueId val="{00000006-F97D-4029-8E69-942C8D6F8F35}"/>
            </c:ext>
          </c:extLst>
        </c:ser>
        <c:ser>
          <c:idx val="7"/>
          <c:order val="7"/>
          <c:tx>
            <c:strRef>
              <c:f>Sheet1!$I$1</c:f>
              <c:strCache>
                <c:ptCount val="1"/>
                <c:pt idx="0">
                  <c:v>2015</c:v>
                </c:pt>
              </c:strCache>
            </c:strRef>
          </c:tx>
          <c:spPr>
            <a:solidFill>
              <a:schemeClr val="accent2">
                <a:lumMod val="60000"/>
              </a:schemeClr>
            </a:solidFill>
            <a:ln>
              <a:noFill/>
            </a:ln>
            <a:effectLst/>
          </c:spPr>
          <c:invertIfNegative val="0"/>
          <c:cat>
            <c:numRef>
              <c:f>Sheet1!$A$2</c:f>
              <c:numCache>
                <c:formatCode>General</c:formatCode>
                <c:ptCount val="1"/>
              </c:numCache>
            </c:numRef>
          </c:cat>
          <c:val>
            <c:numRef>
              <c:f>Sheet1!$I$2</c:f>
              <c:numCache>
                <c:formatCode>General</c:formatCode>
                <c:ptCount val="1"/>
                <c:pt idx="0">
                  <c:v>1086058</c:v>
                </c:pt>
              </c:numCache>
            </c:numRef>
          </c:val>
          <c:extLst>
            <c:ext xmlns:c16="http://schemas.microsoft.com/office/drawing/2014/chart" uri="{C3380CC4-5D6E-409C-BE32-E72D297353CC}">
              <c16:uniqueId val="{00000007-F97D-4029-8E69-942C8D6F8F35}"/>
            </c:ext>
          </c:extLst>
        </c:ser>
        <c:ser>
          <c:idx val="8"/>
          <c:order val="8"/>
          <c:tx>
            <c:strRef>
              <c:f>Sheet1!$J$1</c:f>
              <c:strCache>
                <c:ptCount val="1"/>
                <c:pt idx="0">
                  <c:v>2014</c:v>
                </c:pt>
              </c:strCache>
            </c:strRef>
          </c:tx>
          <c:spPr>
            <a:solidFill>
              <a:schemeClr val="accent3">
                <a:lumMod val="60000"/>
              </a:schemeClr>
            </a:solidFill>
            <a:ln>
              <a:noFill/>
            </a:ln>
            <a:effectLst/>
          </c:spPr>
          <c:invertIfNegative val="0"/>
          <c:cat>
            <c:numRef>
              <c:f>Sheet1!$A$2</c:f>
              <c:numCache>
                <c:formatCode>General</c:formatCode>
                <c:ptCount val="1"/>
              </c:numCache>
            </c:numRef>
          </c:cat>
          <c:val>
            <c:numRef>
              <c:f>Sheet1!$J$2</c:f>
              <c:numCache>
                <c:formatCode>General</c:formatCode>
                <c:ptCount val="1"/>
                <c:pt idx="0">
                  <c:v>922418</c:v>
                </c:pt>
              </c:numCache>
            </c:numRef>
          </c:val>
          <c:extLst>
            <c:ext xmlns:c16="http://schemas.microsoft.com/office/drawing/2014/chart" uri="{C3380CC4-5D6E-409C-BE32-E72D297353CC}">
              <c16:uniqueId val="{00000008-F97D-4029-8E69-942C8D6F8F35}"/>
            </c:ext>
          </c:extLst>
        </c:ser>
        <c:ser>
          <c:idx val="9"/>
          <c:order val="9"/>
          <c:tx>
            <c:strRef>
              <c:f>Sheet1!$K$1</c:f>
              <c:strCache>
                <c:ptCount val="1"/>
                <c:pt idx="0">
                  <c:v>2013</c:v>
                </c:pt>
              </c:strCache>
            </c:strRef>
          </c:tx>
          <c:spPr>
            <a:solidFill>
              <a:schemeClr val="accent4">
                <a:lumMod val="60000"/>
              </a:schemeClr>
            </a:solidFill>
            <a:ln>
              <a:noFill/>
            </a:ln>
            <a:effectLst/>
          </c:spPr>
          <c:invertIfNegative val="0"/>
          <c:cat>
            <c:numRef>
              <c:f>Sheet1!$A$2</c:f>
              <c:numCache>
                <c:formatCode>General</c:formatCode>
                <c:ptCount val="1"/>
              </c:numCache>
            </c:numRef>
          </c:cat>
          <c:val>
            <c:numRef>
              <c:f>Sheet1!$K$2</c:f>
              <c:numCache>
                <c:formatCode>General</c:formatCode>
                <c:ptCount val="1"/>
                <c:pt idx="0">
                  <c:v>897245</c:v>
                </c:pt>
              </c:numCache>
            </c:numRef>
          </c:val>
          <c:extLst>
            <c:ext xmlns:c16="http://schemas.microsoft.com/office/drawing/2014/chart" uri="{C3380CC4-5D6E-409C-BE32-E72D297353CC}">
              <c16:uniqueId val="{00000009-F97D-4029-8E69-942C8D6F8F35}"/>
            </c:ext>
          </c:extLst>
        </c:ser>
        <c:ser>
          <c:idx val="10"/>
          <c:order val="10"/>
          <c:tx>
            <c:strRef>
              <c:f>Sheet1!$L$1</c:f>
              <c:strCache>
                <c:ptCount val="1"/>
                <c:pt idx="0">
                  <c:v>2012</c:v>
                </c:pt>
              </c:strCache>
            </c:strRef>
          </c:tx>
          <c:spPr>
            <a:solidFill>
              <a:schemeClr val="accent5">
                <a:lumMod val="60000"/>
              </a:schemeClr>
            </a:solidFill>
            <a:ln>
              <a:noFill/>
            </a:ln>
            <a:effectLst/>
          </c:spPr>
          <c:invertIfNegative val="0"/>
          <c:cat>
            <c:numRef>
              <c:f>Sheet1!$A$2</c:f>
              <c:numCache>
                <c:formatCode>General</c:formatCode>
                <c:ptCount val="1"/>
              </c:numCache>
            </c:numRef>
          </c:cat>
          <c:val>
            <c:numRef>
              <c:f>Sheet1!$L$2</c:f>
              <c:numCache>
                <c:formatCode>General</c:formatCode>
                <c:ptCount val="1"/>
                <c:pt idx="0">
                  <c:v>752738</c:v>
                </c:pt>
              </c:numCache>
            </c:numRef>
          </c:val>
          <c:extLst>
            <c:ext xmlns:c16="http://schemas.microsoft.com/office/drawing/2014/chart" uri="{C3380CC4-5D6E-409C-BE32-E72D297353CC}">
              <c16:uniqueId val="{0000000A-F97D-4029-8E69-942C8D6F8F35}"/>
            </c:ext>
          </c:extLst>
        </c:ser>
        <c:ser>
          <c:idx val="11"/>
          <c:order val="11"/>
          <c:tx>
            <c:strRef>
              <c:f>Sheet1!$M$1</c:f>
              <c:strCache>
                <c:ptCount val="1"/>
                <c:pt idx="0">
                  <c:v>2011</c:v>
                </c:pt>
              </c:strCache>
            </c:strRef>
          </c:tx>
          <c:spPr>
            <a:solidFill>
              <a:schemeClr val="accent6">
                <a:lumMod val="60000"/>
              </a:schemeClr>
            </a:solidFill>
            <a:ln>
              <a:noFill/>
            </a:ln>
            <a:effectLst/>
          </c:spPr>
          <c:invertIfNegative val="0"/>
          <c:cat>
            <c:numRef>
              <c:f>Sheet1!$A$2</c:f>
              <c:numCache>
                <c:formatCode>General</c:formatCode>
                <c:ptCount val="1"/>
              </c:numCache>
            </c:numRef>
          </c:cat>
          <c:val>
            <c:numRef>
              <c:f>Sheet1!$M$2</c:f>
              <c:numCache>
                <c:formatCode>General</c:formatCode>
                <c:ptCount val="1"/>
                <c:pt idx="0">
                  <c:v>593994</c:v>
                </c:pt>
              </c:numCache>
            </c:numRef>
          </c:val>
          <c:extLst>
            <c:ext xmlns:c16="http://schemas.microsoft.com/office/drawing/2014/chart" uri="{C3380CC4-5D6E-409C-BE32-E72D297353CC}">
              <c16:uniqueId val="{0000000B-F97D-4029-8E69-942C8D6F8F35}"/>
            </c:ext>
          </c:extLst>
        </c:ser>
        <c:dLbls>
          <c:showLegendKey val="0"/>
          <c:showVal val="0"/>
          <c:showCatName val="0"/>
          <c:showSerName val="0"/>
          <c:showPercent val="0"/>
          <c:showBubbleSize val="0"/>
        </c:dLbls>
        <c:gapWidth val="219"/>
        <c:overlap val="-27"/>
        <c:axId val="430688552"/>
        <c:axId val="430693472"/>
      </c:barChart>
      <c:catAx>
        <c:axId val="430688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93472"/>
        <c:crosses val="autoZero"/>
        <c:auto val="1"/>
        <c:lblAlgn val="ctr"/>
        <c:lblOffset val="100"/>
        <c:noMultiLvlLbl val="0"/>
      </c:catAx>
      <c:valAx>
        <c:axId val="43069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Funding</a:t>
                </a:r>
                <a:r>
                  <a:rPr lang="en-US" baseline="0"/>
                  <a:t> available in Millions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88552"/>
        <c:crosses val="autoZero"/>
        <c:crossBetween val="between"/>
      </c:valAx>
      <c:spPr>
        <a:noFill/>
        <a:ln w="25400">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amount</a:t>
            </a:r>
            <a:r>
              <a:rPr lang="en-US" baseline="0"/>
              <a:t> of student loan debt per student at graduation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Sheet1!$A$2:$A$13</c:f>
              <c:numCache>
                <c:formatCode>General</c:formatCode>
                <c:ptCount val="12"/>
                <c:pt idx="0">
                  <c:v>2021</c:v>
                </c:pt>
                <c:pt idx="1">
                  <c:v>2020</c:v>
                </c:pt>
                <c:pt idx="2">
                  <c:v>2019</c:v>
                </c:pt>
                <c:pt idx="3">
                  <c:v>2018</c:v>
                </c:pt>
                <c:pt idx="4">
                  <c:v>2017</c:v>
                </c:pt>
                <c:pt idx="5">
                  <c:v>2016</c:v>
                </c:pt>
                <c:pt idx="6">
                  <c:v>2015</c:v>
                </c:pt>
                <c:pt idx="7">
                  <c:v>2014</c:v>
                </c:pt>
                <c:pt idx="8">
                  <c:v>2013</c:v>
                </c:pt>
                <c:pt idx="9">
                  <c:v>2012</c:v>
                </c:pt>
                <c:pt idx="10">
                  <c:v>2011</c:v>
                </c:pt>
              </c:numCache>
            </c:numRef>
          </c:cat>
          <c:val>
            <c:numRef>
              <c:f>Sheet1!$B$2:$B$13</c:f>
              <c:numCache>
                <c:formatCode>"$"#,##0_);[Red]\("$"#,##0\)</c:formatCode>
                <c:ptCount val="12"/>
                <c:pt idx="0">
                  <c:v>31100</c:v>
                </c:pt>
                <c:pt idx="1">
                  <c:v>30000</c:v>
                </c:pt>
                <c:pt idx="2">
                  <c:v>29500</c:v>
                </c:pt>
                <c:pt idx="3">
                  <c:v>29220</c:v>
                </c:pt>
                <c:pt idx="4">
                  <c:v>28650</c:v>
                </c:pt>
                <c:pt idx="5">
                  <c:v>28525</c:v>
                </c:pt>
                <c:pt idx="6">
                  <c:v>28400</c:v>
                </c:pt>
                <c:pt idx="7">
                  <c:v>28650</c:v>
                </c:pt>
                <c:pt idx="8">
                  <c:v>28900</c:v>
                </c:pt>
                <c:pt idx="9">
                  <c:v>29400</c:v>
                </c:pt>
                <c:pt idx="10">
                  <c:v>25300</c:v>
                </c:pt>
              </c:numCache>
            </c:numRef>
          </c:val>
          <c:smooth val="0"/>
          <c:extLst>
            <c:ext xmlns:c16="http://schemas.microsoft.com/office/drawing/2014/chart" uri="{C3380CC4-5D6E-409C-BE32-E72D297353CC}">
              <c16:uniqueId val="{00000000-AA0E-4A52-8D96-8166ADDD7FD5}"/>
            </c:ext>
          </c:extLst>
        </c:ser>
        <c:dLbls>
          <c:showLegendKey val="0"/>
          <c:showVal val="0"/>
          <c:showCatName val="0"/>
          <c:showSerName val="0"/>
          <c:showPercent val="0"/>
          <c:showBubbleSize val="0"/>
        </c:dLbls>
        <c:smooth val="0"/>
        <c:axId val="371292592"/>
        <c:axId val="371293904"/>
      </c:lineChart>
      <c:catAx>
        <c:axId val="371292592"/>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600"/>
                  <a:t>2021  2020 </a:t>
                </a:r>
                <a:r>
                  <a:rPr lang="en-US" sz="600" baseline="0"/>
                  <a:t> 2019  2018  2017  2016  2015  2014  2013  2012 2011</a:t>
                </a:r>
                <a:endParaRPr lang="en-US" sz="6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71293904"/>
        <c:crosses val="autoZero"/>
        <c:auto val="1"/>
        <c:lblAlgn val="ctr"/>
        <c:lblOffset val="100"/>
        <c:noMultiLvlLbl val="0"/>
      </c:catAx>
      <c:valAx>
        <c:axId val="37129390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292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Moore, Olivia</cp:lastModifiedBy>
  <cp:revision>4</cp:revision>
  <dcterms:created xsi:type="dcterms:W3CDTF">2022-08-11T22:50:00Z</dcterms:created>
  <dcterms:modified xsi:type="dcterms:W3CDTF">2022-08-12T00:15:00Z</dcterms:modified>
</cp:coreProperties>
</file>