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PixArt SCDA 训练与统一评测完整报告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sz w:val="18"/>
        </w:rPr>
        <w:t>版本：2026-08-30  |  范围：可追溯训练、baseline 对比、问题分析与后续方案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1. 结论摘要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当前证据不支持 SCDA 已优于 baseline。统一 CLIP 重评中，baseline 为 0.273209，本轮改进 SCDA 为 0.264862，相对差异 -3.05%。改进版训练稳定、无 NaN/Inf，但稳定训练损失下降不等价于生成一致性提升。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本报告只陈述工作区可核验的实验。早期口头提及的“十次训练”中，未在目录、配置、日志或 checkpoint 中留下可复核证据的轮次不纳入定量比较，避免把缺失数据伪装成结论。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2. 统一评测协议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项目</w:t>
            </w:r>
          </w:p>
        </w:tc>
        <w:tc>
          <w:tcPr>
            <w:tcW w:type="dxa" w:w="515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统一设置</w:t>
            </w:r>
          </w:p>
        </w:tc>
      </w:tr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文本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asset/samples.txt，64 条</w:t>
            </w:r>
          </w:p>
        </w:tc>
      </w:tr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种子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43 / 44 / 45，每模型 192 张</w:t>
            </w:r>
          </w:p>
        </w:tc>
      </w:tr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分辨率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512 x 512</w:t>
            </w:r>
          </w:p>
        </w:tc>
      </w:tr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采样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DPM-Solver，20 steps，CFG=4.0</w:t>
            </w:r>
          </w:p>
        </w:tc>
      </w:tr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一致性指标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ViT-B/32 图文余弦相似度；长文本按 77 token 截断</w:t>
            </w:r>
          </w:p>
        </w:tc>
      </w:tr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质量指标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本轮无真实 COCO 参考图像，未计算 FID/KID；未以代理指标替代质量结论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3. 训练参数与结果总表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实验/方法</w:t>
            </w:r>
          </w:p>
        </w:tc>
        <w:tc>
          <w:tcPr>
            <w:tcW w:type="dxa" w:w="206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数据与步数</w:t>
            </w:r>
          </w:p>
        </w:tc>
        <w:tc>
          <w:tcPr>
            <w:tcW w:type="dxa" w:w="206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可训练模块/关键参数</w:t>
            </w:r>
          </w:p>
        </w:tc>
        <w:tc>
          <w:tcPr>
            <w:tcW w:type="dxa" w:w="206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训练结果</w:t>
            </w:r>
          </w:p>
        </w:tc>
        <w:tc>
          <w:tcPr>
            <w:tcW w:type="dxa" w:w="206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生成评测/结论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Baseline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预训练 checkpoint；未训练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PixArt-XL-2 native-gate-init；语义条件关闭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不适用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0.273209；本报告参照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Gate v2 / Trial 02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历史日志 70 点；完整训练配置未留存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Gate 方案；其余参数不可完全核验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loss 0.1907 -&gt; 0.1513，min 0.1334；曾记录 grad_norm=NaN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0.259399，较 baseline -5.06%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Gate v3 / Trial 09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历史日志 70 点；完整训练配置未留存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neutrality + consistency 正则；其余参数不可完全核验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loss 0.1908 -&gt; 0.1519，min 0.1337；日志无 NaN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0.256700，较 baseline -6.05%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pilot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512 COCO；10 epoch / 160 step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 个 adapter/gate/scale 张量；PixArt/T5 冻结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loss 0.2076 -&gt; 0.1516；residual 0 -&gt; 0.0577；无 NaN</w:t>
            </w:r>
          </w:p>
        </w:tc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仅验证数据流/梯度；未做公平生成对比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improved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8,617 COCO；10 epoch / 2,700 step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adapter dim=64；lr=5e-5；wd=0.03；dropout=0.1；residual=0.25；四分支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final loss=0.132721；grad=0.009002；residual=0.407930；无 NaN/Inf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0.264862，较 baseline -3.06%；优于 Trial 02/09，但仍未超 baseline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loss_reg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8,617 COCO；10 epoch / 2,700 step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adapter dim=64；lr=5e-5；wd=0.03；dropout=0.1；residual=0.10；四分支；正则系数=0.01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total=0.133204；diffusion=0.133001；semantic reg=0.020297；grad=0.003847；residual=0.136511；无 NaN/Inf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0.268161，较 baseline -1.85%；较 SCDA improved +1.25%</w:t>
            </w:r>
          </w:p>
        </w:tc>
      </w:tr>
      <w:tr>
        <w:tc>
          <w:tcPr>
            <w:tcW w:type="dxa" w:w="206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ablate global+object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8,617 COCO；10 epoch / 2,700 step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adapter dim=64；lr=5e-5；wd=0.03；dropout=0.1；residual=0.10；仅 global/object；正则系数=0.01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total=0.133272；diffusion=0.133074；semantic reg=0.019842；grad=0.003749；residual=0.132236；无 NaN/Inf</w:t>
            </w:r>
          </w:p>
        </w:tc>
        <w:tc>
          <w:tcPr>
            <w:tcW w:type="dxa" w:w="2062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CLIP 0.267053，较 baseline -2.25%；低于 loss_reg 0.41%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4. 多种子 CLIP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模型</w:t>
            </w:r>
          </w:p>
        </w:tc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seed43</w:t>
            </w:r>
          </w:p>
        </w:tc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seed44</w:t>
            </w:r>
          </w:p>
        </w:tc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seed45</w:t>
            </w:r>
          </w:p>
        </w:tc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192 图均值</w:t>
            </w:r>
          </w:p>
        </w:tc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图级标准差</w:t>
            </w:r>
          </w:p>
        </w:tc>
        <w:tc>
          <w:tcPr>
            <w:tcW w:type="dxa" w:w="1473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相对 baseline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Baseline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0.273054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0.266827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0.279745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0.273209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0.066340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+0.00%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0.260878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0.258000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0.259319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0.259399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0.056447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-5.05%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Trial 09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0.260015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0.254790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0.255296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0.256700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0.056175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-6.04%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improved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0.265700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0.264239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0.264648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0.264862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0.058155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-3.05%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loss_reg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0.271075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0.264239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0.269169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0.268161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0.065466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-1.85%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SCDA global+object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0.270117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0.263931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0.267111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0.267053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0.067055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-2.25%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sz w:val="18"/>
        </w:rPr>
        <w:t>说明：图级标准差反映 prompt 难度差异，不等同于 seed 间不确定性。三个 seed 的模型均值均显示 baseline 最好；因此不能依据单一 prompt 或单一 seed 宣称提升。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5. 问题分析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- 语义残差已从零初始化增长到 0.408，但其学习目标仍是扩散重建损失，未直接优化对象、属性和关系遵循，可能出现“收敛但偏离文本”的情形。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- 当前语义 mask 由文本解析伪标签构造，属性与关系覆盖率低于对象；解析错误会把不可靠条件注入所有层，削弱语义信号。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- 四个语义分支同时训练且 adapter dim=64，缺少 object-only、object+attribute 与各 residual scale 的消融，尚不能定位退化来自哪个分支或强度。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- CLIP 是整体语义代理，对组合关系不敏感；同时缺失 COCO 真实参考集，当前不能对图像保真度作 FID/KID 结论。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6. 后续实验与决策规则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优先级</w:t>
            </w:r>
          </w:p>
        </w:tc>
        <w:tc>
          <w:tcPr>
            <w:tcW w:type="dxa" w:w="257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实验</w:t>
            </w:r>
          </w:p>
        </w:tc>
        <w:tc>
          <w:tcPr>
            <w:tcW w:type="dxa" w:w="257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固定设置</w:t>
            </w:r>
          </w:p>
        </w:tc>
        <w:tc>
          <w:tcPr>
            <w:tcW w:type="dxa" w:w="257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通过标准/决策</w:t>
            </w:r>
          </w:p>
        </w:tc>
      </w:tr>
      <w:tr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P0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残差强度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scale=0.10/0.25/0.50/1.00；其余同 improved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先用 64x3；均值超过 baseline 且三 seed 中至少 2 个不低于 baseline，才扩大评测</w:t>
            </w:r>
          </w:p>
        </w:tc>
      </w:tr>
      <w:tr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P1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分支消融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object；object+attribute；all；scale 取 P0 最优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定位退化分支；关系分支只有在关系子集增益明确时保留</w:t>
            </w:r>
          </w:p>
        </w:tc>
      </w:tr>
      <w:tr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P2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评测集扩展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新增 COCO 风格对象/属性/关系 prompt；每类 &gt;=100；seeds &gt;=5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报告总体和分组均值/置信区间，禁止只报总体 CLIP</w:t>
            </w:r>
          </w:p>
        </w:tc>
      </w:tr>
      <w:tr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P3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结构遵循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GenEval、T2I-CompBench 或 VQA 人工盲评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对象计数、属性绑定、空间关系分别给分；与 CLIP 联合判断</w:t>
            </w:r>
          </w:p>
        </w:tc>
      </w:tr>
      <w:tr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P4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图像质量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准备真实 COCO reference 及特征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计算 FID/KID；同一预处理和样本数；避免仅靠清晰度/熵代理</w:t>
            </w:r>
          </w:p>
        </w:tc>
      </w:tr>
      <w:tr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P5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训练目标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筛选后的最佳结构加入低权重语义一致性/偏好损失</w:t>
            </w:r>
          </w:p>
        </w:tc>
        <w:tc>
          <w:tcPr>
            <w:tcW w:type="dxa" w:w="257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先小规模验证不损害 FID，再做完整训练；保存每步各分支范数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Microsoft YaHei" w:hAnsi="Microsoft YaHei" w:eastAsia="Microsoft YaHei"/>
          <w:b/>
          <w:color w:val="1F4D78"/>
          <w:sz w:val="26"/>
        </w:rPr>
        <w:t>7. 可复现性与产物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0"/>
        </w:rPr>
        <w:t>训练 checkpoint：output/scda_improved_full/checkpoints/epoch_10_step_2700.pth、output/scda_loss_reg/checkpoints/epoch_10_step_2700.pth；训练 epoch 表：各 output/*/experiment_tables/epoch_summary.csv；统一 CLIP 原始分数：output/final_multiseed_clip_scores.csv、output/loss_reg_clip_scores.csv；按 seed 汇总：对应 *_summary.csv。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18"/>
        </w:rPr>
        <w:t>本次新增了 tools/evaluate_multiseed.py 的 --semantic-residual-scale 参数，确保改进模型按训练时 0.25 推理；新增 tools/score_clip_multiseed.py，以本地 CLIP 模型在所有候选上统一重评分。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