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SCDA/PixArt 文生图全指标评测报告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评测日期：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2026-09-08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评测对象：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Frozen PixArt baseline、COCO2017 pooled SCDA、full-span SCDA、token-pair SCDA、token-pair 蒸馏（Distill-2500）和可学习分支层（Learnable Layers）。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结论边界：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本报告严格区分已实测指标和待执行指标。没有 FID/KID、LPIPS、GenEval、T2I-CompBench、VQA/开放词汇检测或人工标注结果，因此不对这些指标给出虚构数值，也不据此宣称 SCDA 的图像质量或组合语义能力获得全面提升。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统一评测协议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固定提示词：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asset/samples.txt</w:t>
      </w:r>
      <w:r>
        <w:rPr>
          <w:rFonts w:ascii="Microsoft YaHei" w:hAnsi="Microsoft YaHei" w:eastAsia="Microsoft YaHei"/>
          <w:b w:val="0"/>
          <w:i w:val="0"/>
          <w:sz w:val="20"/>
        </w:rPr>
        <w:t>，64 条复杂英文 prompt。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随机种子：43、44、45；每个模型共 192 张图。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推理：512x512，DPM-Solver 20 steps，CFG=4.0。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文本图像相似度模型：本地 CLIP ViT-B/32，长文本按模型最大长度截断。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属性绑定专项：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asset/attribute_binding_cases.csv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的 17 条案例，其中 13 条提供可交换属性描述；每模型共 51 条对象/属性判断和 39 条绑定判断。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统计单位：总体 CLIP 为 image-prompt 对；专项准确率为 case-seed 对。现有实验仅有 3 个推理 seed，且同一 prompt 的不同 seed 并非独立语义样本，因此数值用于候选筛选，不应替代大规模独立测试集上的显著性结论。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已完成的实测结果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2.1 总体文本-图像一致性：CLIPScore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 均值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标准差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Frozen baseline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解读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0.006460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参照模型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COCO2017 pooled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0.247061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0.004233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-9.57%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显著退化趋势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0.247550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0.005966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-9.39%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相对 root-only 仅边际改善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0.266105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0.000975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-2.60%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优于 pooled 方案，但仍低于 baseline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0.273675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0.004985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+0.17%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基本保持 baseline 对齐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0.005394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+0.14%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与蒸馏初始化近似，未证明额外增益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CLIPScore 衡量图像和完整 prompt 的嵌入相似度，适合检测大范围文本对齐退化，但对细粒度颜色、属性归属、数量和空间关系不够敏感。因此，C5/C6 的约 0.1% 差异不能视为总体质量显著提高；它说明保守蒸馏至少避免了前述 pooled SCDA 的大幅退化。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原始产物：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output/coco2017_eval/clip_scores*.csv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output/coco2017_eval_fullspan_final/clip_scores*.csv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output/coco2017_eval_token_pair/clip_scores*.csv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output/coco2017_eval_distill2500/clip_scores*.csv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output/coco2017_eval_learnable_layers/clip_scores*.csv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2.2 对象、属性与对象-属性绑定：CLIP contrastive proxy（2026-09-09 全变体重评）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设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s(I, C)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为 CLIP 图文余弦相似度。每个案例使用正确描述、干扰对象描述、去属性描述和交换属性描述：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\begin{aligned}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m_{obj} &amp;= s(I,C_{object})-s(I,C_{distractor}),\\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m_{attr} &amp;= s(I,C_{positive})-s(I,C_{neutral}),\\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m_{bind} &amp;= s(I,C_{positive})-s(I,C_{swapped}).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\end{aligned}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对象存在率、属性存在率和绑定准确率分别为对应 margin 大于 0 的比例。绑定准确率只统计 13 个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binding=1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案例；margin 为平均相似度差。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绑定准确率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 margin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 margin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 margin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 (44/51)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70.59% (36/51)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0.04384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0.02447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0.01886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80.39% (41/51)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76.47% (39/51)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69.23% (27/39)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0.04052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0.02517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0.01788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80.39% (41/51)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68.63% (35/51)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74.36% (29/39)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0.04067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0.02332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0.02023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(34/51)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0.04353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0.02217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0.01752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74.51% (38/51)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0.04370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0.02347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0.01912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86.27% (44/51)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74.51% (38/51)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69.23% (27/39)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0.04436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0.02440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0.01819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为避免把同一 prompt 的三个 seed 视为独立语义样本，进一步以 17 个案例为聚类单元、固定随机种子、10,000 次 paired bootstrap 计算 95% CI。下表是相对 Frozen 的百分点差；CI 跨越 0 代表当前案例规模不足以支持确定的优劣结论。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对象存在率差（95% CI）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属性存在率差（95% CI）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绑定准确率差（95% CI）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-5.88 pp [-17.65, +3.92]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+5.88 pp [-11.76, +25.49]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+2.56 pp [-20.51, +27.78]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-5.88 pp [-19.61, +5.88]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-1.96 pp [-17.65, +15.69]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+7.69 pp [-16.67, +33.33]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-1.96 pp [-13.73, +7.84]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-3.92 pp [-17.65, +7.84]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 pp [-10.26, +10.26]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-1.96 pp [-7.84, +3.92]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+3.92 pp [+0.00, +9.80]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 pp [-7.14, +7.41]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 pp [-5.88, +5.88]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+3.92 pp [+0.00, +9.80]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+2.56 pp [+0.00, +8.33]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结果解读：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Learnable Layers 相比 Frozen 多正确 1 个绑定判断（27/39 对 26/39），并提升属性存在率 3.92 个百分点；Distillation 同样提升属性存在率 3.92 个百分点。它们的 binding 或 attribute CI 下界仍为 0，且所有数值都依赖同一个 CLIP 判定器，因此只能作为“值得扩大专项集验证”的正向信号。Full-span 在 binding proxy 上点估计最高，但总体 CLIPScore 低 9.39%，不改变停止 pooled/full-span 路线的结论。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实现与产物：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Microsoft YaHei" w:hAnsi="Microsoft YaHei" w:eastAsia="Microsoft YaHei"/>
          <w:b w:val="0"/>
          <w:i w:val="0"/>
          <w:color w:val="005AA0"/>
          <w:sz w:val="21"/>
        </w:rPr>
        <w:t>tools/score_attribute_binding.py (../tools/score_attribute_binding.py)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 w:val="0"/>
          <w:i w:val="0"/>
          <w:color w:val="005AA0"/>
          <w:sz w:val="21"/>
        </w:rPr>
        <w:t>tools/summarize_binding_comparison.py (../tools/summarize_binding_comparison.py)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output/attribute_binding_metrics_all.csv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output/attribute_binding_metrics_all_summary.csv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output/attribute_binding_metrics_all_bootstrap.csv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文生图指标覆盖状态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推荐指标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当前状态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当前是否可作结论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补全所需输入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整体文本一致性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CLIPScore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已完成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可以，限于 64 prompt 的筛选集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扩展测试 prompt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对象存在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Open-vocabulary Object Recall/F1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目标对象清单、Grounding DINO 或 OWL-ViT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属性存在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Attribute Accuracy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proxy 已完成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仅可作代理结论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属性标签或 VQA 问题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属性绑定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Binding Accuracy/Margin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proxy 已完成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仅可作代理结论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扩大交换属性案例，最好加 VQA/人工标注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空间/动作关系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Accuracy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关系问题、检测框或人工标注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数量遵循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Exact Count Accuracy、Count MAE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带数量 prompt、检测/计数模型或人工标注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图像真实度/分布质量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FID、KID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足量生成图和独立真实 COCO 图像集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 prompt 多样性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LPIPS、MS-SSIM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每个 prompt 至少 4 个独立 seed 的生成图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人类偏好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ImageReward、HPS v2、PickScore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对应预训练评估模型及其权重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问答式文本遵循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TIFA、VQAScore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可靠 VQA 模型、prompt 问题集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组合语义基准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GenEval、T2I-CompBench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官方 prompt、评测脚本、检测/VQA依赖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人工语义正确性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双人盲评、Cohen's kappa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标注说明、独立标注员、仲裁规则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效率与稳定性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参数量、时间/图、显存、NaN/OOM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部分训练记录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仅可描述单次训练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系统化 profiling 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尚未完成指标的正式评测方案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4.1 FID 与 KID：图像真实度和分布质量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FID/KID 不评价文本遵循，而是比较生成图和真实图的视觉特征分布。应使用独立的 COCO2017 验证集真实图像作为 reference，不能用参与训练的图像或固定 64 条 prompt 的 192 张图作为正式 FID 报告。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生成规模：至少 10,000 张用于初步比较；30,000 张更适合作为正式 FID 报告。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公平性：各方法用同一 prompt 集、相同分辨率、相同采样步数与 CFG。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报告：FID-10k/30k（越低越好）、KID mean +/- std（越低越好）、生成数、reference split 和特征提取器版本。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当前阻塞：仓库未安装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cleanfid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torchmetrics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或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torch-fidelity</w:t>
      </w:r>
      <w:r>
        <w:rPr>
          <w:rFonts w:ascii="Microsoft YaHei" w:hAnsi="Microsoft YaHei" w:eastAsia="Microsoft YaHei"/>
          <w:b w:val="0"/>
          <w:i w:val="0"/>
          <w:sz w:val="20"/>
        </w:rPr>
        <w:t>，且未生成独立大规模评测样本。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4.2 LPIPS/MS-SSIM：同提示词多样性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每条 prompt 生成至少 4 个新 seed，计算所有 seed 两两图像距离；LPIPS 越高通常表示感知多样性更好，MS-SSIM 越低表示重复性更低。必须与 CLIPScore 联合报告，避免“随机噪声更大”被误判为更有多样性。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推荐规模：1,000 条 prompt x 4 seed。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报告：mean LPIPS、mean MS-SSIM、CLIPScore，并按 prompt bootstrap 置信区间。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当前阻塞：项目没有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lpips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依赖，也没有每 prompt &gt;=4 seed 的大规模评测集。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4.3 对象、属性、关系和计数：GenEval/T2I-CompBench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这两类基准比总体 CLIP 更适合验证 SCDA 的贡献。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GenEval</w:t>
      </w:r>
      <w:r>
        <w:rPr>
          <w:rFonts w:ascii="Microsoft YaHei" w:hAnsi="Microsoft YaHei" w:eastAsia="Microsoft YaHei"/>
          <w:b w:val="0"/>
          <w:i w:val="0"/>
          <w:sz w:val="20"/>
        </w:rPr>
        <w:t>：报告单对象、双对象、计数、颜色、位置和属性绑定子分数，以及宏平均分。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T2I-CompBench</w:t>
      </w:r>
      <w:r>
        <w:rPr>
          <w:rFonts w:ascii="Microsoft YaHei" w:hAnsi="Microsoft YaHei" w:eastAsia="Microsoft YaHei"/>
          <w:b w:val="0"/>
          <w:i w:val="0"/>
          <w:sz w:val="20"/>
        </w:rPr>
        <w:t>：至少报告 color、shape、texture、spatial、non-spatial、complex 子任务；若方法重点为 object-attribute pair，必须单列 color/shape/texture 和 spatial/non-spatial。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公平性：每个 benchmark prompt 使用完全一致的 sampler、steps、CFG 和图像分辨率。不得从 benchmark prompt 中挑选少量容易样本。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当前阻塞：项目未包含官方 benchmark 数据、脚本、评估模型或生成结果。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4.4 检测/VQA 语义指标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建议在内部测试集补充可解释的结构化指标：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输出指标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推荐判定器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对象是否出现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Object Recall、Precision、F1、all-object success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Grounding DINO / OWL-ViT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颜色/材质/形状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Attribute Accuracy、macro-F1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VQA 或区域属性分类器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对象-属性绑定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pair-level Binding Accuracy、Binding Margin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对象检测 + 区域 VQA；或正确/交换描述 VQAScore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空间关系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Accuracy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两对象检测框的几何规则 + VQA 复核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动作关系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Action Relation Accuracy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VQA/人工盲评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数量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Exact Count Accuracy、Count MAE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检测器计数 + 人工抽检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相比纯 CLIP proxy，推荐的对象-属性绑定流程为：先以 Grounding DINO/OWL-ViT 定位 prompt 中的每个对象，再对每个目标区域询问对应属性，最后按对象对计算正确绑定比例。这样能区分“红色和蓝色都出现”与“红色确实属于球、蓝色确实属于立方体”。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4.5 人工盲评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自动指标应由人工评测校验。推荐从最终独立测试集分层抽取至少 200 个 prompt，每个方法使用相同 seed 图并打乱模型名；两名独立标注员给出以下二元标签：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所有关键对象是否存在；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每个属性是否属于正确对象；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空间/动作关系是否正确；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数量是否正确；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整体图像质量是否可接受。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报告每项准确率、配对 bootstrap 95% CI、Cohen's kappa；分歧交由第三名标注员仲裁。对“属性绑定提高”的最终结论，应优先使用这项结果而不是 CLIP margin。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最小可发表指标组合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在当前 SCDA 的研究目标下，建议最终论文至少包含：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目的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最小指标组合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整体质量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FID/KID + CLIPScore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文本遵循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 或 TIFA/VQAScore + CLIPScore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对象-属性绑定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扩展 Binding Accuracy/Margin + 区域 VQA/人工绑定准确率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关系/数量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GenEval/T2I-CompBench 子分数或人工 Relation/Count Accuracy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多样性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LPIPS 或 MS-SSIM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可用性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参数量、峰值显存、训练吞吐、推理时间/图、失败率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结果须报告均值、标准差和配对 bootstrap 95% CI。若 C5/C6 仅在属性绑定指标提升而 FID/CLIP 持平，正确表述应为“改善组合语义控制且保持整体质量”，而非“全面提升文生图质量”。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本轮新增探索性计算结果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7.1 CLIP-space 分布距离与 KID 代理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由于当前环境中 Inception-v3 特征提取/协方差分解异常缓慢，未把 Inception FID 冒充为已完成结果。本轮使用项目已经加载的本地 CLIP ViT-B/32 图像嵌入，参考集为 COCO2017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val2017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前 1,000 张图，每个模型为 192 张生成图，计算 CLIP-space Fréchet 距离和 polynomial-kernel KID 代理。两者只能用于</w:t>
      </w:r>
      <w:r>
        <w:rPr>
          <w:rFonts w:ascii="Microsoft YaHei" w:hAnsi="Microsoft YaHei" w:eastAsia="Microsoft YaHei"/>
          <w:b/>
          <w:i w:val="0"/>
          <w:sz w:val="21"/>
        </w:rPr>
        <w:t>同一批模型的探索性相对比较</w:t>
      </w:r>
      <w:r>
        <w:rPr>
          <w:rFonts w:ascii="Microsoft YaHei" w:hAnsi="Microsoft YaHei" w:eastAsia="Microsoft YaHei"/>
          <w:b w:val="0"/>
          <w:i w:val="0"/>
          <w:sz w:val="21"/>
        </w:rPr>
        <w:t>，不是标准 Inception FID/KID，也不能与其他论文的 FID 数值直接比较。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生成图数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CLIP-space Fréchet ↓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CLIP-space KID ↓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KID std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1-MS-SSIM proxy ↑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baseline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0.573556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0.001012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0.000024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0.842314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0.456120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0.000629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0.791645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0.460248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0.000641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0.787495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0.491364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0.000685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0.821260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0.567767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0.000997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0.843215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Learnable Layers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0.571318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0.001005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0.000024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0.842481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onsolas" w:hAnsi="Consolas" w:eastAsia="Consolas"/>
          <w:b w:val="0"/>
          <w:i w:val="0"/>
          <w:color w:val="373737"/>
          <w:sz w:val="20"/>
        </w:rPr>
        <w:t>1-MS-SSIM proxy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是同一 prompt、不同 seed 图像两两灰度 SSIM 的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1-mean(SSIM)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，值越高表示跨 seed 感知差异越大；它不是 LPIPS。每个模型有 192 个跨 seed 图像对。完整逐模型结果保存在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output/clip_distribution_metrics.csv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，计算脚本为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tools/score_clip_distribution.py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谨慎解读：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pooled/full-span SCDA 的 CLIP-space 距离较低且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1-MS-SSIM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较低，说明其生成图在该参考空间中更集中、跨 seed 变化更小；这不能解释为图像质量更好，反而与其较低的总体 CLIPScore 同时出现，可能反映语义多样性或生成退化。Distillation 与 Learnable Layers 的分布距离和多样性都接近 baseline，支持“保持 baseline 行为”的结论。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7.2 尚未完成的指标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本轮仍未完成标准 Inception FID/KID、LPIPS、Inception Score、GenEval、T2I-CompBench、TIFA/VQAScore、Grounding DINO/OWL-ViT 对象与关系指标以及人工盲评。原因是当前仓库没有对应评测权重/官方脚本，且标准 FID 需要至少 10,000 张生成图和统一 reference split。上述指标仍按第 3、4 节方案保留为后续正式评测任务。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8. 当前结论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Pooled SCDA 和 full-span SCDA 的 CLIP 分别比 Frozen baseline 低 9.57% 与 9.39%，不支持其总体文本图像一致性优于 baseline。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Token-pair 机制将退化缩小到 -2.60%；加入 teacher distillation 后，CLIP 均值达到 0.273675，数值上与 baseline 持平且略高。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Learnable Layers 的 CLIP 为 0.273597，未超过 Distill-2500 初始化；现有训练记录中 object/attribute/relation layer gate 也几乎未偏离初始化，因此没有证据证明层位置学习带来独立贡献。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在 39 个 CLIP 代理绑定判断中，Learnable Layers 的胜率为 69.23%，高于 baseline 的 66.67%，但仅相当于多 1 个正确判断；该趋势需要更大专项集和非 CLIP 判定器复验。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目前尚不能对真实度、多样性、关系、计数、跨基准组合语义或人类偏好作任何模型优劣结论。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9. 研发决策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自 2026-09-08 起，</w:t>
      </w:r>
      <w:r>
        <w:rPr>
          <w:rFonts w:ascii="Microsoft YaHei" w:hAnsi="Microsoft YaHei" w:eastAsia="Microsoft YaHei"/>
          <w:b/>
          <w:i w:val="0"/>
          <w:sz w:val="21"/>
        </w:rPr>
        <w:t>停止 pooled SCDA 路线</w:t>
      </w:r>
      <w:r>
        <w:rPr>
          <w:rFonts w:ascii="Microsoft YaHei" w:hAnsi="Microsoft YaHei" w:eastAsia="Microsoft YaHei"/>
          <w:b w:val="0"/>
          <w:i w:val="0"/>
          <w:sz w:val="21"/>
        </w:rPr>
        <w:t>：不再对 pooled residual、其分支组合、残差尺度、正则系数或 full-span mask 投入新的训练预算。历史配置、checkpoint 和评测 CSV 作为可复现负结果保留，不删除、不覆盖。后续资源集中在 token-pair + teacher distillation，并以 token-pair 内部的 role mask、pair bias 和层位置机制作为唯一消融主线。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