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 w:eastAsia="Microsoft YaHei"/>
          <w:b w:val="0"/>
          <w:i w:val="0"/>
          <w:sz w:val="32"/>
        </w:rPr>
        <w:t>Token-Pair SCDA 的属性绑定专项对比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目的：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Token-pair SCDA 的机制直接作用于属性 token 与对象 token 的对应关系。本文只将其与属性绑定或组合提示词绑定方法作主比较；通用文生图基础模型、box/layout 条件方法和一般图像质量指标均不构成主排名。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1. 主比较对象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是否直接解决属性-对象绑定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输入条件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应否进入主表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理由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否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纯文本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本方法的同基座基线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SCDA（本方法）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纯文本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将属性和对象 token 对显式注入 cross-attention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是，减少主体/修饰词遗漏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纯文本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通过测试时 attention 优化强化指定 token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 Guidance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是，结构化属性/对象关系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纯文本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结构化 cross-attention guidance 的直接基线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是，modifier-entity linguistic binding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纯文本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使用句法依存和 attention map alignment，问题定义最接近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Composable Diffusion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间接，概念 conjunction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纯文本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辅助表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主要面向概念组合/否定，不是 pair-level binding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BoxDiff / GLIGEN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部分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text + box/layout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不进入主表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获得额外空间条件，适合作为 grounded upper bound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2. 本项目同协议结果：Token-Pair 消融主表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协议：64 条固定 prompt、seed 43/44/45、512x512、DPM-Solver 20 steps、CFG 4.0、CLIP ViT-B/32。对象/属性/绑定均为正确描述与干扰描述的 </w:t>
      </w:r>
      <w:r>
        <w:rPr>
          <w:rFonts w:ascii="Microsoft YaHei" w:hAnsi="Microsoft YaHei" w:eastAsia="Microsoft YaHei"/>
          <w:b/>
          <w:i w:val="0"/>
          <w:sz w:val="21"/>
        </w:rPr>
        <w:t>CLIP contrastive proxy</w:t>
      </w:r>
      <w:r>
        <w:rPr>
          <w:rFonts w:ascii="Microsoft YaHei" w:hAnsi="Microsoft YaHei" w:eastAsia="Microsoft YaHei"/>
          <w:b w:val="0"/>
          <w:i w:val="0"/>
          <w:sz w:val="21"/>
        </w:rPr>
        <w:t>，不是人工 Binding Accuracy。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blHeader w:val="true"/>
        </w:trP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CLIPScore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对象存在 proxy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属性存在 proxy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Binding proxy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与 Frozen 的 binding 差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0.273209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86.27%</w:t>
            </w: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 xml:space="preserve"> (44/51)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70.59% (36/51)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 (26/39)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SCDA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0.266105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84.31% (43/51)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 (34/51)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 (26/39)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+0.00 pp [-10.26, +10.26]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distillation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0.273675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84.31% (43/51)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74.51% (38/51)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66.67% (26/39)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+0.00 pp [-7.14, +7.41]</w:t>
            </w:r>
          </w:p>
        </w:tc>
      </w:tr>
      <w:tr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learnable layers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0.273597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86.27%</w:t>
            </w: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 xml:space="preserve"> (44/51)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74.51% (38/51)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69.23% (27/39)</w:t>
            </w:r>
          </w:p>
        </w:tc>
        <w:tc>
          <w:tcPr>
            <w:tcW w:type="dxa" w:w="173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+2.56 pp [0.00, +8.33]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方括号是按 17 个案例聚类、10,000 次 paired bootstrap 的 95% CI。Learnable Layers 比 Frozen 多 1 个正确绑定判断，当前只能表述为绑定 proxy 的正向趋势，不能表述为统计显著提升。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Pooled SCDA 和 Full-span SCDA 不再放入 token-pair 主表：二者不是 token-pair 机制，且 CLIPScore 分别为 0.247061 和 0.247550（相对 Frozen 为 -9.57% 和 -9.39%）。其负结果保留在消融附录。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3. 与属性绑定方法的公开人工结果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SynGen 在同一篇论文中以人工细粒度标注评测 SynGen、Attend-and-Excite、Structured Diffusion 和 Stable Diffusion。</w:t>
      </w:r>
      <w:r>
        <w:rPr>
          <w:rFonts w:ascii="Consolas" w:hAnsi="Consolas" w:eastAsia="Consolas"/>
          <w:b w:val="0"/>
          <w:i w:val="0"/>
          <w:color w:val="373737"/>
          <w:sz w:val="20"/>
        </w:rPr>
        <w:t>Proper Binding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是正确属性-对象映射比例，</w:t>
      </w:r>
      <w:r>
        <w:rPr>
          <w:rFonts w:ascii="Consolas" w:hAnsi="Consolas" w:eastAsia="Consolas"/>
          <w:b w:val="0"/>
          <w:i w:val="0"/>
          <w:color w:val="373737"/>
          <w:sz w:val="20"/>
        </w:rPr>
        <w:t>Improper Binding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是错误映射比例，</w:t>
      </w:r>
      <w:r>
        <w:rPr>
          <w:rFonts w:ascii="Consolas" w:hAnsi="Consolas" w:eastAsia="Consolas"/>
          <w:b w:val="0"/>
          <w:i w:val="0"/>
          <w:color w:val="373737"/>
          <w:sz w:val="20"/>
        </w:rPr>
        <w:t>Entity Neglect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是目标实体未出现比例。该表是外部方法之间可直接比较的绑定证据；它与本项目 CLIP proxy 的判定器和基座不同，因此本方法不填入该表。</w:t>
      </w:r>
    </w:p>
    <w:p>
      <w:pPr>
        <w:pStyle w:val="Heading3"/>
      </w:pPr>
      <w:r>
        <w:rPr>
          <w:rFonts w:ascii="Microsoft YaHei" w:hAnsi="Microsoft YaHei" w:eastAsia="Microsoft YaHei"/>
          <w:b w:val="0"/>
          <w:i w:val="0"/>
          <w:sz w:val="23"/>
        </w:rPr>
        <w:t>3.1 ABC-6K：最接近双对象-双属性压力测试的公开表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Proper Binding ↑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Improper Binding ↓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Entity Neglect ↓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判定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63.68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14.37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34.41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人工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56.26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26.43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33.18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人工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51.47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29.52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34.57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人工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52.70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27.20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36.57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人工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learnable layers（本项目）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未在该协议评测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未在该协议评测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未在该协议评测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SynGen 同时报告 A&amp;E (177 prompts) 和 DVMP (200 prompts) 的人工结果：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数据集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SynGen Proper / Improper / Neglect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Attend-and-Excite Proper / Improper / Neglect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Structured Diffusion Proper / Improper / Neglect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Stable Diffusion Proper / Improper / Neglect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A&amp;E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94.76 / 23.81 / 2.82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81.90 / 63.81 / 1.41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55.71 / 67.62 / 21.13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59.05 / 68.57 / 20.56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DVMP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74.90 / 19.49 / 16.26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52.47 / 31.64 / 10.77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48.73 / 30.57 / 28.46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47.80 / 30.44 / 26.22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4. 属性绑定基准的自动指标：T2I-CompBench++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T2I-CompBench++ 以 disentangled BLIP-VQA 计算颜色、形状和纹理绑定。以下只保留属性绑定相关方法和辅助组合基线，不将通用大模型混入 token-pair 主比较。分数在 0--1，越高越好。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颜色绑定 B-VQA ↑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形状绑定 B-VQA ↑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纹理绑定 B-VQA ↑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方法定位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 v2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0.5065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0.4221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0.4922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基础生成模型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Composable Diffusion + SD v2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0.4063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0.3299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0.3645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概念组合辅助基线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 + SD v2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0.4990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0.4218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0.4900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属性/对象结构化 guidance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 + SD v2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0.6400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0.4517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0.5963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测试时 attention 控制</w:t>
            </w:r>
          </w:p>
        </w:tc>
      </w:tr>
      <w:tr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learnable layers（本项目）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未在该协议评测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未在该协议评测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未在该协议评测</w:t>
            </w:r>
          </w:p>
        </w:tc>
        <w:tc>
          <w:tcPr>
            <w:tcW w:type="dxa" w:w="20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PixArt token-pair conditioning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5. 量化总览表：所有可核验的绑定数值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这是当前可直接放入补充材料的完整数值表。所有百分比已换算到 0--1；</w:t>
      </w:r>
      <w:r>
        <w:rPr>
          <w:rFonts w:ascii="Consolas" w:hAnsi="Consolas" w:eastAsia="Consolas"/>
          <w:b w:val="0"/>
          <w:i w:val="0"/>
          <w:color w:val="373737"/>
          <w:sz w:val="20"/>
        </w:rPr>
        <w:t>-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表示原论文未在该协议报告该项，</w:t>
      </w:r>
      <w:r>
        <w:rPr>
          <w:rFonts w:ascii="Microsoft YaHei" w:hAnsi="Microsoft YaHei" w:eastAsia="Microsoft YaHei"/>
          <w:b/>
          <w:i w:val="0"/>
          <w:sz w:val="21"/>
        </w:rPr>
        <w:t>不是 0 分</w:t>
      </w:r>
      <w:r>
        <w:rPr>
          <w:rFonts w:ascii="Microsoft YaHei" w:hAnsi="Microsoft YaHei" w:eastAsia="Microsoft YaHei"/>
          <w:b w:val="0"/>
          <w:i w:val="0"/>
          <w:sz w:val="21"/>
        </w:rPr>
        <w:t>。同一方法在不同数据集/判定器下分行报告，防止将不同定义强行合并。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blHeader w:val="true"/>
        </w:trP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数据集与判定器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方法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Proper Binding ↑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Improper Binding ↓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Entity Neglect ↓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Color B-VQA ↑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Shape B-VQA ↑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Texture B-VQA ↑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本地 Binding proxy ↑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本地 CLIPScore ↑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本地 64 prompts / CLIP ViT-B/32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Frozen PixArt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0.6667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0.273209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本地 64 prompts / CLIP ViT-B/32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SCDA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0.6667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0.266105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本地 64 prompts / CLIP ViT-B/32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distillation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0.6667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0.273675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本地 64 prompts / CLIP ViT-B/32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Token-pair + learnable layers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0.6923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0.273597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 / 人工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SynGen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0.6368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0.1437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0.3441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 / 人工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0.5626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0.2643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0.3318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 / 人工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0.5147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0.2952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0.3457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ABC-6K / 人工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0.5270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0.2720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0.3657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T2I-CompBench++ / disentangled BLIP-VQA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Stable Diffusion v2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0.5065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0.4221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0.4922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T2I-CompBench++ / disentangled BLIP-VQA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Structured Diffusion + SD v2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0.4990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0.4218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0.4900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T2I-CompBench++ / disentangled BLIP-VQA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 + SD v2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0.6400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0.4517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0.5963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  <w:tc>
          <w:tcPr>
            <w:tcW w:type="dxa" w:w="10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Microsoft YaHei" w:hAnsi="Microsoft YaHei" w:eastAsia="Microsoft YaHei"/>
          <w:b/>
          <w:i w:val="0"/>
          <w:sz w:val="21"/>
        </w:rPr>
        <w:t>表的正确读法：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在每一个“数据集与判定器”块内可以做数值排序。例如 ABC-6K 人工标注中 SynGen 的 Proper Binding 为 0.6368，高于 Attend-and-Excite 的 0.5626；T2I-CompBench++ 中 Attend-and-Excite 的三种 B-VQA 分数最高。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本地 Token-pair 行只能与 Frozen PixArt 行直接比较。目前 Learnable Layers 在 binding proxy 上为 0.6923，对 Frozen 的 0.6667 是 +0.0256，但 95% CI 为 [0.0000, 0.0833]，不应写为显著优于基线。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本地行与 ABC-6K/T2I-CompBench++ 行不能纵向比较或计算平均排名。若要将 Token-pair 放入后两块，必须用原始官方 prompt、相同每 prompt 图数和相同判定器实际重跑。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6. 最终论文应使用的对比表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sz w:val="21"/>
        </w:rPr>
        <w:t>要使 Token-pair 与上述方法形成严格的数字对比，必须在同一生成和评测协议下获得以下列。建议主表只保留 Frozen PixArt、Token-pair、Token-pair + distillation、Token-pair + learnable layers、Attend-and-Excite、Structured Diffusion、SynGen。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tblHeader w:val="true"/>
        </w:trP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指标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优先级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D9EAF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i w:val="0"/>
                <w:sz w:val="18"/>
              </w:rPr>
              <w:t>原因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Proper Binding / Improper Binding / Entity Neglect（人工）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必须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与 SynGen 的核心指标一致，直接区分“颜色都出现”与“颜色归属正确”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Color / Shape / Texture B-VQA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必须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分解三种属性，避免只在颜色上有效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GenEval color attribution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必须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检测器驱动的第二个自动绑定判定器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Object Recall 与 all-object success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必须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排除通过遗漏一个对象而获得表面绑定正确的情况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CLIPScore 与 Binding Margin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辅助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监控整体对齐及与现有本地结果的连续性，不能替代人工绑定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s/image、steps、峰值显存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必须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Attend-and-Excite、SynGen 均有额外测试时优化代价</w:t>
            </w:r>
          </w:p>
        </w:tc>
      </w:tr>
      <w:tr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FID/KID、空间关系、计数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附录</w:t>
            </w:r>
          </w:p>
        </w:tc>
        <w:tc>
          <w:tcPr>
            <w:tcW w:type="dxa" w:w="34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评价一般生成能力，不是 token-pair 属性绑定的主张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7. 可作出的结论与不可作出的结论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当前可成立的结论是：在 PixArt 同协议下，token-pair + distillation 保持总体 CLIPScore，并提高属性存在 proxy；learnable layers 的 binding proxy 有 +2.56 pp 的正向趋势。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不可声称本方法已超过 SynGen、Attend-and-Excite 或 Structured Diffusion：它们的公开数字来自 Stable Diffusion、不同 prompt 集和人工/B-VQA 判定器。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在未重跑外部方法时，应该把第 2 节写为“本项目消融”，把第 3--4 节写为“属性绑定方法的公开基准结果”，不得合并为单一性能排行。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若只选两个优先外部对比，选 </w:t>
      </w:r>
      <w:r>
        <w:rPr>
          <w:rFonts w:ascii="Microsoft YaHei" w:hAnsi="Microsoft YaHei" w:eastAsia="Microsoft YaHei"/>
          <w:b/>
          <w:i w:val="0"/>
          <w:sz w:val="20"/>
        </w:rPr>
        <w:t>Attend-and-Excite</w:t>
      </w:r>
      <w:r>
        <w:rPr>
          <w:rFonts w:ascii="Microsoft YaHei" w:hAnsi="Microsoft YaHei" w:eastAsia="Microsoft YaHei"/>
          <w:b w:val="0"/>
          <w:i w:val="0"/>
          <w:sz w:val="20"/>
        </w:rPr>
        <w:t xml:space="preserve">（测试时 attention 控制）与 </w:t>
      </w:r>
      <w:r>
        <w:rPr>
          <w:rFonts w:ascii="Microsoft YaHei" w:hAnsi="Microsoft YaHei" w:eastAsia="Microsoft YaHei"/>
          <w:b/>
          <w:i w:val="0"/>
          <w:sz w:val="20"/>
        </w:rPr>
        <w:t>SynGen</w:t>
      </w:r>
      <w:r>
        <w:rPr>
          <w:rFonts w:ascii="Microsoft YaHei" w:hAnsi="Microsoft YaHei" w:eastAsia="Microsoft YaHei"/>
          <w:b w:val="0"/>
          <w:i w:val="0"/>
          <w:sz w:val="20"/>
        </w:rPr>
        <w:t>（句法绑定）。Structured Diffusion 作为第三个结构化 attention 基线；Composable Diffusion 只作辅助组合基线。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i w:val="0"/>
          <w:sz w:val="26"/>
        </w:rPr>
        <w:t>8. 来源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SynGen / Linguistic Binding，NeurIPS 2023：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论文 PDF (https://proceedings.neurips.cc/paper_files/paper/2023/file/0b08d733a5d45a547344c4e9d88bb8bc-Paper-Conference.pdf)</w:t>
      </w:r>
      <w:r>
        <w:rPr>
          <w:rFonts w:ascii="Microsoft YaHei" w:hAnsi="Microsoft YaHei" w:eastAsia="Microsoft YaHei"/>
          <w:b w:val="0"/>
          <w:i w:val="0"/>
          <w:sz w:val="20"/>
        </w:rPr>
        <w:t>，Table 1、2、6。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Attend-and-Excite：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论文 (https://arxiv.org/abs/2301.13826)</w:t>
      </w:r>
      <w:r>
        <w:rPr>
          <w:rFonts w:ascii="Microsoft YaHei" w:hAnsi="Microsoft YaHei" w:eastAsia="Microsoft YaHei"/>
          <w:b w:val="0"/>
          <w:i w:val="0"/>
          <w:sz w:val="20"/>
        </w:rPr>
        <w:t>，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官方代码 (https://github.com/yuval-alaluf/Attend-and-Excite)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Structured Diffusion Guidance：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论文 (https://arxiv.org/abs/2212.05032)</w:t>
      </w:r>
      <w:r>
        <w:rPr>
          <w:rFonts w:ascii="Microsoft YaHei" w:hAnsi="Microsoft YaHei" w:eastAsia="Microsoft YaHei"/>
          <w:b w:val="0"/>
          <w:i w:val="0"/>
          <w:sz w:val="20"/>
        </w:rPr>
        <w:t>，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官方代码 (https://github.com/weixi-feng/Structured-Diffusion-Guidance)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T2I-CompBench++：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官方仓库 (https://github.com/Karine-Huang/T2I-CompBench)</w:t>
      </w:r>
      <w:r>
        <w:rPr>
          <w:rFonts w:ascii="Microsoft YaHei" w:hAnsi="Microsoft YaHei" w:eastAsia="Microsoft YaHei"/>
          <w:b w:val="0"/>
          <w:i w:val="0"/>
          <w:sz w:val="20"/>
        </w:rPr>
        <w:t>，Table XIII。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i w:val="0"/>
          <w:sz w:val="20"/>
        </w:rPr>
        <w:t>本项目实测：</w:t>
      </w:r>
      <w:r>
        <w:rPr>
          <w:rFonts w:ascii="Microsoft YaHei" w:hAnsi="Microsoft YaHei" w:eastAsia="Microsoft YaHei"/>
          <w:b w:val="0"/>
          <w:i w:val="0"/>
          <w:color w:val="005AA0"/>
          <w:sz w:val="20"/>
        </w:rPr>
        <w:t>T2I_ALL_METRICS_EVALUATION_REPORT.md (T2I_ALL_METRICS_EVALUATION_REPORT.md)</w:t>
      </w:r>
      <w:r>
        <w:rPr>
          <w:rFonts w:ascii="Microsoft YaHei" w:hAnsi="Microsoft YaHei" w:eastAsia="Microsoft YaHei"/>
          <w:b w:val="0"/>
          <w:i w:val="0"/>
          <w:sz w:val="20"/>
        </w:rPr>
        <w:t>、</w:t>
      </w:r>
      <w:r>
        <w:rPr>
          <w:rFonts w:ascii="Consolas" w:hAnsi="Consolas" w:eastAsia="Consolas"/>
          <w:b w:val="0"/>
          <w:i w:val="0"/>
          <w:color w:val="373737"/>
          <w:sz w:val="20"/>
        </w:rPr>
        <w:t>output/attribute_binding_metrics_all_bootstrap.csv</w:t>
      </w:r>
      <w:r>
        <w:rPr>
          <w:rFonts w:ascii="Microsoft YaHei" w:hAnsi="Microsoft YaHei" w:eastAsia="Microsoft YaHei"/>
          <w:b w:val="0"/>
          <w:i w:val="0"/>
          <w:sz w:val="20"/>
        </w:rPr>
        <w:t>。</w:t>
      </w:r>
    </w:p>
    <w:sectPr w:rsidR="00FC693F" w:rsidRPr="0006063C" w:rsidSect="00034616">
      <w:pgSz w:w="12240" w:h="15840"/>
      <w:pgMar w:top="964" w:right="907" w:bottom="9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