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  <w:i w:val="0"/>
          <w:sz w:val="32"/>
        </w:rPr>
        <w:t>可学习分支层指标报告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摘要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本报告汇总可学习分支层模型的总体 CLIP 指标、对象/属性存在代理指标与属性绑定代理指标，并与 Frozen PixArt baseline 和 step-2,500 蒸馏模型比较。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最终模型的总体 CLIP 为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0.273597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，相对 baseline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0.273209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提升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+0.000388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373737"/>
          <w:sz w:val="20"/>
        </w:rPr>
        <w:t>+0.14%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）。属性存在率从 baseline 的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70.59%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提升至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74.51%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，属性绑定准确率从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66.67%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提升至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69.23%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。但绑定 margin 从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0.01886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降至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0.01819</w:t>
      </w:r>
      <w:r>
        <w:rPr>
          <w:rFonts w:ascii="Microsoft YaHei" w:hAnsi="Microsoft YaHei" w:eastAsia="Microsoft YaHei"/>
          <w:b w:val="0"/>
          <w:i w:val="0"/>
          <w:sz w:val="21"/>
        </w:rPr>
        <w:t>，且专项集仅含 13 个可交换属性案例，因此不能把该小幅差异视作统计显著的绑定增益。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评测对象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checkpoint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训练步数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 baseline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373737"/>
                <w:sz w:val="17"/>
              </w:rPr>
              <w:t>output/pretrained_models/PixArt-XL-2-512x512-native-gate-init.pth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distill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373737"/>
                <w:sz w:val="17"/>
              </w:rPr>
              <w:t>output/coco2017_token_pair_distill_gate008_sparse/checkpoints/epoch_1_step_2500.pth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2,500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可学习分支层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373737"/>
                <w:sz w:val="17"/>
              </w:rPr>
              <w:t>output/coco2017_token_pair_learnable_layers/checkpoints/epoch_1_step_14786.pth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14,786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总体 CLIP 指标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统一评测协议：64 条固定 prompt，seed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43/44/45</w:t>
      </w:r>
      <w:r>
        <w:rPr>
          <w:rFonts w:ascii="Microsoft YaHei" w:hAnsi="Microsoft YaHei" w:eastAsia="Microsoft YaHei"/>
          <w:b w:val="0"/>
          <w:i w:val="0"/>
          <w:sz w:val="21"/>
        </w:rPr>
        <w:t>，512px，DPM-Solver 20 steps，CFG 4.0，本地 CLIP ViT-B/32。每个模型生成 192 张图片。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blHeader w:val="true"/>
        </w:trP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43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44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45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CLIP 均值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std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image std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相对 baseline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 baseline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0.273054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0.266827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0.279745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0.273209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0.005275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0.066340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distill step 2,500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0.272990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0.267941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0.280095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0.273675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0.004985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0.064778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+0.17%</w:t>
            </w:r>
          </w:p>
        </w:tc>
      </w:tr>
      <w:tr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可学习分支层 step 14,786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0.273797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0.266893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0.280102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0.273597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0.005394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0.066059</w:t>
            </w:r>
          </w:p>
        </w:tc>
        <w:tc>
          <w:tcPr>
            <w:tcW w:type="dxa" w:w="13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+0.14%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总体 CLIP 解读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可学习分支层比 Frozen baseline 高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0.000388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，但比其初始化蒸馏模型低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0.000078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该差值远小于 seed 间波动（约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0.005</w:t>
      </w:r>
      <w:r>
        <w:rPr>
          <w:rFonts w:ascii="Microsoft YaHei" w:hAnsi="Microsoft YaHei" w:eastAsia="Microsoft YaHei"/>
          <w:b w:val="0"/>
          <w:i w:val="0"/>
          <w:sz w:val="20"/>
        </w:rPr>
        <w:t>），因此目前只能确认“未破坏 baseline 且保持微弱正向趋势”，不能确认完整训练优于 step-2,500 checkpoint。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当前整体最佳 checkpoint 仍是 step-2,500 蒸馏模型。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属性与绑定专项指标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协议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从固定 64 条 prompt 中人工筛出 17 条具有明确对象和属性的案例；其中 13 条可构造正确绑定文本与交换属性后的错误绑定文本。每个模型使用三个 seed，共有：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对象/属性存在：17 x 3 = 51 个图像案例。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属性绑定：13 x 3 = 39 个图像案例。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这些均是 CLIP contrastive proxy，不是目标检测或人工判定。具体案例定义在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asset/attribute_binding_cases.csv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指标定义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指标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定义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趋势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对象存在率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373737"/>
                <w:sz w:val="17"/>
              </w:rPr>
              <w:t>CLIP(图, 对象描述) &gt; CLIP(图, 干扰对象描述)</w:t>
            </w: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 xml:space="preserve"> 的比例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越高越好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属性存在率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373737"/>
                <w:sz w:val="17"/>
              </w:rPr>
              <w:t>CLIP(图, 完整属性描述) &gt; CLIP(图, 去属性中性描述)</w:t>
            </w: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 xml:space="preserve"> 的比例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越高越好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绑定准确率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373737"/>
                <w:sz w:val="17"/>
              </w:rPr>
              <w:t>CLIP(图, 正确绑定) &gt; CLIP(图, 交换绑定)</w:t>
            </w: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 xml:space="preserve"> 的比例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越高越好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 margin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对象描述分数减去干扰对象描述分数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越高越好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 margin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完整属性描述分数减去中性描述分数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越高越好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绑定 margin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正确绑定分数减去交换绑定分数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越高越好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汇总结果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tblHeader w:val="true"/>
        </w:trP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模型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对象存在率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属性存在率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绑定准确率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对象 margin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 margin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绑定 margin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 baseline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86.27%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70.59%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0.04384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0.02447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0.01886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distill step 2,500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84.31%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74.51%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0.04370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0.02347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0.01912</w:t>
            </w:r>
          </w:p>
        </w:tc>
      </w:tr>
      <w:tr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可学习分支层 step 14,786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86.27%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74.51%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69.23%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0.04436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0.02440</w:t>
            </w:r>
          </w:p>
        </w:tc>
        <w:tc>
          <w:tcPr>
            <w:tcW w:type="dxa" w:w="1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0.01819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属性绑定解读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可学习分支层模型将正确绑定胜率从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26/39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提升到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27/39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，即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66.67%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提升到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69.23%</w:t>
      </w:r>
      <w:r>
        <w:rPr>
          <w:rFonts w:ascii="Microsoft YaHei" w:hAnsi="Microsoft YaHei" w:eastAsia="Microsoft YaHei"/>
          <w:b w:val="0"/>
          <w:i w:val="0"/>
          <w:sz w:val="21"/>
        </w:rPr>
        <w:t>。但它在已正确的案例中平均赢得不如 baseline 明显，因此 binding margin 略低。两个现象并不矛盾：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绑定准确率只计算正确绑定是否获胜，margin 的正负跨过 0 即计为一次改进。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binding margin 计算每个案例的胜出幅度，少数原本 margin 较大的案例变小，就会降低整体均值。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此处差值仅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-0.00067</w:t>
      </w:r>
      <w:r>
        <w:rPr>
          <w:rFonts w:ascii="Microsoft YaHei" w:hAnsi="Microsoft YaHei" w:eastAsia="Microsoft YaHei"/>
          <w:b w:val="0"/>
          <w:i w:val="0"/>
          <w:sz w:val="20"/>
        </w:rPr>
        <w:t>，小于小规模测试集的预期波动，不能据此认定绑定能力下降。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按案例均值看，主要负向变化来自第 53 条 yarn beach（约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-0.0045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）、第 58 条 shipwreck（约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-0.0030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）和第 46 条 blue jay/macaron（约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-0.0022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）；第 54 条 pumpkin chair 则约提升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+0.0041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结论与限制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总体 CLIP：可学习分支层略高于 baseline，但没有超过其 step-2,500 蒸馏初始化。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属性存在：相对 baseline 有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+3.92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个百分点提升，说明保守的 token/pair 修正没有损害属性表达。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属性绑定：代理准确率有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+2.56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个百分点提升，但只有 39 个观测，证据不足以得出强结论。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binding margin 略低不能单独解释为退化；它与准确率的提升同时出现，表明胜率与置信差距发生了不同方向的微小变化。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本专项评测依赖 CLIP，可能受风格、背景、文本长度与 CLIP 对细粒度属性敏感性的影响。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建议的后续评测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构建 128-256 条短、受控的双对象双属性 prompt，覆盖颜色、材质、大小、纹理和形状。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每条 prompt 至少使用 3 个 seed；将绑定样本扩大到至少 384 个图像观测。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加入 GroundingDINO 或 OWL-ViT 定位对象，再对对象 crop 做属性分类，并人工复核子集。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报告 bootstrap 置信区间或配对显著性检验，避免把小于评测噪声的差异当作模型改进。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原始产物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总体 CLIP：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output/coco2017_eval_learnable_layers/clip_scores.csv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总体 CLIP 按 seed 汇总：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output/coco2017_eval_learnable_layers/clip_scores_summary.csv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属性/绑定逐案例结果：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output/attribute_binding_metrics.csv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属性/绑定按模型和 seed 汇总：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output/attribute_binding_metrics_summary.csv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案例定义：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asset/attribute_binding_cases.csv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计算脚本：</w:t>
      </w:r>
      <w:r>
        <w:rPr>
          <w:rFonts w:ascii="Consolas" w:hAnsi="Consolas" w:eastAsia="Consolas"/>
          <w:b w:val="0"/>
          <w:i w:val="0"/>
          <w:color w:val="373737"/>
          <w:sz w:val="20"/>
        </w:rPr>
        <w:t>tools/score_attribute_binding.py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