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 w:val="0"/>
          <w:i w:val="0"/>
          <w:sz w:val="32"/>
        </w:rPr>
        <w:t>SCDA 与相似方法的公开评价指标数据对比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用途：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汇总本项目已实测数值和相似文献公开报告的数值，服务于论文表格和实验结论撰写。外部方法没有在本地重新部署；所有外部数字均保留原论文的数据集、模型、采样器和额外输入条件。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1. 结论先行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本项目最可靠的统一数字是 Frozen PixArt、token-pair SCDA、蒸馏和可学习层模型在同一 64-prompt/3-seed 协议下的 CLIP 与 CLIP binding proxy。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SynGen 提供了与 SCDA 研究问题最接近的公开人工绑定数据：在其三个数据集上 Proper Binding 为 63.68--94.76，且明显优于其表中的 A&amp;E、Structured Diffusion 和 Stable Diffusion；但这些不是 PixArt 协议，不能直接宣称 SCDA 超过或落后于 SynGen。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BoxDiff 的 AP/AP50/AP75 数值评价的是“给定 box 后的空间满足度”，属于额外空间条件上限，不是纯文本 object-attribute binding 对比。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A&amp;E 官方仓库确认了 image-CLIP 和 BLIP-caption-CLIP 两类指标，但没有在 README 中给出可直接迁移的统一总分；这里不填猜测数值。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2. 本项目统一评测结果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协议：64 条固定 prompt、seed 43/44/45、512x512、DPM-Solver 20 steps、CFG 4.0、本地 CLIP ViT-B/32。每个模型生成 192 张图。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输入/基座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CLIP ↑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相对 Frozen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对象存在 proxy ↑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属性存在 proxy ↑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绑定 proxy ↑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纯文本 / PixArt-XL-2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0.273209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86.27% (44/51)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70.59% (36/51)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(26/39)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Pooled SCDA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pooled residual / PixArt-XL-2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0.247061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-9.57%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80.39% (41/51)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76.47% (39/51)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69.23% (27/39)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Full-span SCDA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full-span residual / PixArt-XL-2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0.247550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-9.39%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80.39% (41/51)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68.63% (35/51)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74.36% (29/39)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SCDA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token-pair bias / PixArt-XL-2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0.266105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-2.60%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84.31% (43/51)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(34/51)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(26/39)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distillation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token-pair + teacher / PixArt-XL-2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0.273675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+0.17%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84.31% (43/51)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74.51% (38/51)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(26/39)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learnable layers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token-pair + learnable layer gate / PixArt-XL-2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0.273597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+0.14%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86.27% (44/51)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74.51% (38/51)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69.23% (27/39)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当前绑定数值是 CLIP contrastive proxy：正确绑定描述的 CLIP 分数高于交换属性描述即计为正确；不是检测器、VQA 或人工准确率。2026-09-09 对六个变体按 17 个案例做 paired bootstrap 后，Learnable Layers 相比 baseline 的 binding 差为 +2.56 pp，95% CI 为 [0.00, +8.33] pp；样本仍很小，不能视作统计显著提升。Full-span 虽有 74.36% binding proxy，但总体 CLIP 低 9.39%，故不恢复该路线。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3. 纯文本绑定方法的公开数值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3.1 SynGen、Attend-and-Excite、Structured Diffusion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SynGen 论文在三个数据集上进行人工 fine-grained evaluation。Proper Binding 是正确属性-对象映射比例，Improper Binding 是错误映射比例，Entity Neglect 是 prompt 中实体未出现的比例。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数据集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Proper Binding ↑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Improper Binding ↓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Entity Neglect ↓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 (177)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94.76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23.81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2.82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 (177)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81.90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63.81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1.41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 (177)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55.71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67.62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21.13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 (177)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59.05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68.57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20.56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 (200)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74.90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19.49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16.26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 (200)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52.47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31.64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10.77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 (200)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48.73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30.57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28.46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 (200)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47.80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30.44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26.22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(200)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63.68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14.37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34.41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(200)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56.26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26.43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33.18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(200)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51.47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29.52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34.57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(200)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52.70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27.20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36.57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SynGen 的人工多数投票概念分离率/视觉偏好也公开报告如下：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数据集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Concept separation ↑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Visual appeal ↑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38.42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37.85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18.08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18.65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4.52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4.52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1.69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2.26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24.84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16.00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13.33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12.17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4.33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7.83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3.83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7.17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28.00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18.34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11.17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10.00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5.83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6.33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4.83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7.83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补充数据：SynGen 论文报告 Stable Diffusion、A&amp;E、SynGen 的平均生成时间分别为 4.0、8.8、9.76 s/image；其 phrase-to-image CLIP 自动评测与人工多数选择的一致率仅 43.5%，说明普通 CLIP 不应替代绑定人工评测。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3.2 GenEval：六项对象级组合指标（更多基础模型）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GenEval 使用 Mask2Former 对生成图做对象级验证，并针对颜色使用额外的颜色分类器。其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color attribution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要求两个对象及其颜色均正确，因此是与 object-attribute binding 最接近的自动列；</w:t>
      </w:r>
      <w:r>
        <w:rPr>
          <w:rFonts w:ascii="Consolas" w:hAnsi="Consolas" w:eastAsia="Consolas"/>
          <w:b w:val="0"/>
          <w:i w:val="0"/>
          <w:color w:val="373737"/>
          <w:sz w:val="20"/>
        </w:rPr>
        <w:t>two object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能补充实体遗漏，</w:t>
      </w:r>
      <w:r>
        <w:rPr>
          <w:rFonts w:ascii="Consolas" w:hAnsi="Consolas" w:eastAsia="Consolas"/>
          <w:b w:val="0"/>
          <w:i w:val="0"/>
          <w:color w:val="373737"/>
          <w:sz w:val="20"/>
        </w:rPr>
        <w:t>position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counting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则覆盖 SCDA 当前未测的关系与数量能力。每个分数均在 0--1 范围内，越高越好。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 w:val="true"/>
        </w:trP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模型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总分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单对象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双对象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计数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单对象颜色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位置关系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颜色-对象绑定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retrieval（检索基线）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0.89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0.22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0.37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0.62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0.03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minDALL-E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0.23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0.73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0.11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0.12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0.37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v1.5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0.43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0.97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0.38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0.76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0.04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0.06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v2.1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0.98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0.51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0.44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0.07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0.17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XL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0.98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0.74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0.39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0.15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0.23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IF-XL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0.61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0.97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0.74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0.66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0.81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0.13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0.35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这是一张很适合补入论文的“基础模型参照表”：它表明基础模型在单对象（0.97--0.98）上已接近饱和，但颜色-对象绑定仍仅为 0.06--0.35，位置关系仍仅为 0.04--0.15。注意其生成和评测协议与本项目不同，不能将 Frozen PixArt 的 69.23% CLIP binding proxy 换算为 GenEval 的 0.35，也不能据此形成跨表排名。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3.3 T2I-CompBench++：11 个模型、12 项组合指标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T2I-CompBench++ 在 8,000 个组合 prompt 上评测 11 个模型。以下是其 Table XIII 的原始数值。颜色、形状、纹理使用 </w:t>
      </w:r>
      <w:r>
        <w:rPr>
          <w:rFonts w:ascii="Microsoft YaHei" w:hAnsi="Microsoft YaHei" w:eastAsia="Microsoft YaHei"/>
          <w:b/>
          <w:i w:val="0"/>
          <w:sz w:val="21"/>
        </w:rPr>
        <w:t>disentangled BLIP-VQA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（将每个属性-对象短语拆开提问，概率连乘）；二维空间、三维空间和数量使用 </w:t>
      </w:r>
      <w:r>
        <w:rPr>
          <w:rFonts w:ascii="Microsoft YaHei" w:hAnsi="Microsoft YaHei" w:eastAsia="Microsoft YaHei"/>
          <w:b/>
          <w:i w:val="0"/>
          <w:sz w:val="21"/>
        </w:rPr>
        <w:t>UniDet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；非空间关系使用 </w:t>
      </w:r>
      <w:r>
        <w:rPr>
          <w:rFonts w:ascii="Microsoft YaHei" w:hAnsi="Microsoft YaHei" w:eastAsia="Microsoft YaHei"/>
          <w:b/>
          <w:i w:val="0"/>
          <w:sz w:val="21"/>
        </w:rPr>
        <w:t>CLIP</w:t>
      </w:r>
      <w:r>
        <w:rPr>
          <w:rFonts w:ascii="Microsoft YaHei" w:hAnsi="Microsoft YaHei" w:eastAsia="Microsoft YaHei"/>
          <w:b w:val="0"/>
          <w:i w:val="0"/>
          <w:sz w:val="21"/>
        </w:rPr>
        <w:t>；复杂组合使用三类指标。均为 0--1，越高越好。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3.3.1 自动主指标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rPr>
          <w:tblHeader w:val="true"/>
        </w:trP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模型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颜色绑定 B-VQA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形状绑定 B-VQA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纹理绑定 B-VQA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2D 空间 UniDet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3D 空间 UniDet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数量 UniDet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非空间 CLIP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复杂组合 3-in-1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v1.4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0.3765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0.3576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0.4156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0.1246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0.3030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0.4456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0.3079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0.3080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v2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0.5065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0.4221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0.4922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0.1342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0.3230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0.4582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0.3127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0.3386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Composable Diffusion + SD v2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0.4063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0.3299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0.3645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0.0800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0.2847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0.4272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0.2980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0.2898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 + SD v2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0.4990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0.4218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0.4900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0.1386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0.3224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0.4557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0.3111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0.3355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 + SD v2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0.6400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0.4517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0.5963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0.1455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0.3222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0.4773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0.3109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0.3401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GORS-unbiased + SD v2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0.6414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0.4546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0.6025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0.1725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0.3300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0.4849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0.3158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0.3470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GORS + SD v2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0.6603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0.4785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0.6287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0.1815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0.3572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0.4830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0.3193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0.3328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XL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0.5879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0.4687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0.5299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0.2133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0.3566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0.4991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0.3119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0.3237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PixArt-alpha-ft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0.6690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0.4927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0.6477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0.2064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0.3901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0.5032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0.3197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0.3433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DALL-E 3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0.7785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0.6205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0.7036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0.2865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0.3744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0.5926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0.3003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0.3773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3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0.8132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0.5885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0.7334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0.3200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0.4084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0.6174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0.3140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0.3771</w:t>
            </w:r>
          </w:p>
        </w:tc>
      </w:tr>
      <w:tr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FLUX.1 [schnell]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0.7407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0.5718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0.6922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0.2863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0.3866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0.6185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0.3127</w:t>
            </w:r>
          </w:p>
        </w:tc>
        <w:tc>
          <w:tcPr>
            <w:tcW w:type="dxa" w:w="11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0.3703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onsolas" w:hAnsi="Consolas" w:eastAsia="Consolas"/>
          <w:b w:val="0"/>
          <w:i w:val="0"/>
          <w:color w:val="373737"/>
          <w:sz w:val="20"/>
        </w:rPr>
        <w:t>PixArt-alpha-ft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是该论文用 GORS 微调后的 PixArt-alpha，不是本项目的 Frozen PixArt，也不是 token-pair SCDA。它可作为“同为 PixArt 架构、但模型和训练方案不同”的外部参考，不能替代本项目消融基线。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3.3.2 多模态评判指标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同一 Table XIII 还以 GPT-4V 和 ShareGPT4V-CoT 判定非空间关系与复杂组合。它们适合验证自动检测器难以覆盖的动作/语义关系，但不是可与 B-VQA 或 UniDet 相互换算的指标。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模型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非空间 GPT-4V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非空间 Share-CoT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复杂组合 GPT-4V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复杂组合 Share-CoT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v1.4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0.7717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0.7487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0.6453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0.7727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v2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0.8153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0.7567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0.6483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0.7783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Composable Diffusion + SD v2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0.5030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0.6927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0.5637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0.7487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 + SD v2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0.8127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0.7560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0.6400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0.7777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 + SD v2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0.8243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0.7593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0.6817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0.7763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GORS-unbiased + SD v2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0.8557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0.7650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0.6753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0.7697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GORS + SD v2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0.8420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0.7637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0.6850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0.7737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XL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0.8500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0.7673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0.7170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0.7817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PixArt-alpha-ft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0.8620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0.7747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0.7223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0.7823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DALL-E 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0.9170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0.7853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0.8653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0.7927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0.9093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0.7782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0.8717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0.7919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FLUX.1 [schnell]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0.9213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0.7809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0.8727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0.7927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这组公开数据已经覆盖更多可比较模型：Stable Diffusion v1.4/v2/XL、Composable Diffusion、Structured Diffusion、Attend-and-Excite、GORS、PixArt-alpha-ft、DALL-E 3、Stable Diffusion 3、FLUX.1。对于 SCDA 的核心主张，最关键的三列是颜色、形状和纹理绑定 B-VQA；其余列用于证明模型没有以牺牲对象关系、数量或复杂组合为代价。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4. 额外空间条件方法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BoxDiff 在文本之外接收 bounding box。论文使用 189 个 prompt、4,274 个有效 box，并以 YOLOv4 评估对象框满足度：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T2I-Sim ↑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YOLO AP ↑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AP50 ↑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AP75 ↑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条件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0.3511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未报告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未报告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text + box protocol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BoxDiff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0.3513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22.3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46.8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20.2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text + user box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这组 AP 数值不能与 SCDA 的 66.67%/69.23% binding proxy 合并排序：前者是空间框约束，后者是 CLIP 对比判断。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GLIGEN 同样接收 box、keypoint、reference image 等 grounding 条件；其公开资料明确以 COCO/LVIS grounded generation 和 grounding 质量为主要评测方向，但当前报告没有提取一组可与 SCDA 同协议复用的总分，因此不填跨协议数字。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5. 指标对齐与推荐主表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研究问题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SCDA 当前值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文献对应指标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论文主表建议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整体文本一致性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0.273209--0.273675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image-CLIP、BLIP-caption-CLIP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仅在同一基座/协议下比较；外部论文数值不横排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对象是否出现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86.27% CLIP proxy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Entity Neglect / object coverage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 GroundingDINO/OWL-ViT 或人工 object recall 复核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属性是否出现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74.51% CLIP proxy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attribute presence / attribute neglect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加 VQA 或区域属性分类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属性是否绑定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69.23% CLIP proxy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Proper Binding、Improper Binding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主指标应改为人工或区域 VQA binding accuracy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空间 grounding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BoxDiff AP/AP50/AP75、GLIGEN grounding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另设额外 box 条件表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效率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当前未统一 profiling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 4--9.76 s/image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统一硬件、steps、batch 后再比较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若实际将 SCDA 与更多模型重跑，建议使用下面这组最小且完整的同协议数据，而不是从上述外部表里抽数和本地分数混排：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指标组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必算数据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能回答的问题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关联公开基准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基础对象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GenEval：单对象、双对象、计数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是否漏实体、是否能同时生成多个对象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GenEval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属性-对象绑定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GenEval color attribution；T2I-CompBench++ 色/形/纹理 B-VQA；人工 Proper/Improper Binding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属性有没有绑定到</w:t>
            </w: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正确</w:t>
            </w: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GenEval、T2I-CompBench++、SynGen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关系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GenEval position；T2I 2D/3D UniDet；非空间关系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注入是否损害或改善关系组合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GenEval、T2I-CompBench++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全局对齐与质量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CLIPScore、FID 或 KID、人工 visual appeal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整体语义和图像分布是否退化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当前本地 CLIP、SynGen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成本与可信度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s/image、显存、参数/训练量、95% bootstrap CI、人工一致性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绑定提升是否来自更大推理代价，是否稳健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SynGen、统一本地 profiling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6. 可引用的限制性结论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Token-pair + distillation 保持 PixArt 的总体 CLIP（0.273675 vs 0.273209），并将属性存在 proxy 从 70.59% 提升到 74.51%；这不是跨论文 SOTA 结论。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Learnable Layers 的 binding proxy 为 69.23%（27/39），相比 baseline 仅多 1 个正确判断，必须扩大测试集并加入人工/区域判定。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SynGen 的 63.68--94.76 Proper Binding 是公开人工结果，但基于 Stable Diffusion 和不同 prompt/采样协议；只能作为问题难度与指标定义参照。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BoxDiff 的 22.3 AP 是额外 box 条件下的空间指标，不能证明其纯文本绑定能力，也不能直接压过 SCDA。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T2I-CompBench++ 公开表表明 Attend-and-Excite 在 SD v2 上可将颜色/形状/纹理 B-VQA 提升至 0.6400/0.4517/0.5963，但该实现和本项目 PixArt 不同；它应是 SCDA 的优先同协议外部基线之一。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pooled SCDA 的负结果（CLIP -9.57%）应保留在消融表中，但后续训练预算应集中在 token-level pair、蒸馏、关系建模和更大绑定测试集。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7. 来源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SynGen / Linguistic Binding，NeurIPS 2023：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论文 PDF (https://proceedings.neurips.cc/paper_files/paper/2023/file/0b08d733a5d45a547344c4e9d88bb8bc-Paper-Conference.pdf)</w:t>
      </w:r>
      <w:r>
        <w:rPr>
          <w:rFonts w:ascii="Microsoft YaHei" w:hAnsi="Microsoft YaHei" w:eastAsia="Microsoft YaHei"/>
          <w:b w:val="0"/>
          <w:i w:val="0"/>
          <w:sz w:val="20"/>
        </w:rPr>
        <w:t>，Table 1、2、6 和 Appendix G.2。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Attend-and-Excite：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论文 (https://arxiv.org/abs/2301.13826)</w:t>
      </w:r>
      <w:r>
        <w:rPr>
          <w:rFonts w:ascii="Microsoft YaHei" w:hAnsi="Microsoft YaHei" w:eastAsia="Microsoft YaHei"/>
          <w:b w:val="0"/>
          <w:i w:val="0"/>
          <w:sz w:val="20"/>
        </w:rPr>
        <w:t>，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官方指标代码 (https://github.com/yuval-alaluf/Attend-and-Excite)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Structured Diffusion Guidance：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论文 (https://arxiv.org/abs/2212.05032)</w:t>
      </w:r>
      <w:r>
        <w:rPr>
          <w:rFonts w:ascii="Microsoft YaHei" w:hAnsi="Microsoft YaHei" w:eastAsia="Microsoft YaHei"/>
          <w:b w:val="0"/>
          <w:i w:val="0"/>
          <w:sz w:val="20"/>
        </w:rPr>
        <w:t>，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官方仓库 (https://github.com/weixi-feng/Structured-Diffusion-Guidance)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BoxDiff：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论文 PDF (https://github.com/showlab/BoxDiff/blob/main/BoxDiff_ICCV_2023.pdf)</w:t>
      </w:r>
      <w:r>
        <w:rPr>
          <w:rFonts w:ascii="Microsoft YaHei" w:hAnsi="Microsoft YaHei" w:eastAsia="Microsoft YaHei"/>
          <w:b w:val="0"/>
          <w:i w:val="0"/>
          <w:sz w:val="20"/>
        </w:rPr>
        <w:t>，Table 1、3。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GenEval：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论文 (https://arxiv.org/abs/2310.11513)</w:t>
      </w:r>
      <w:r>
        <w:rPr>
          <w:rFonts w:ascii="Microsoft YaHei" w:hAnsi="Microsoft YaHei" w:eastAsia="Microsoft YaHei"/>
          <w:b w:val="0"/>
          <w:i w:val="0"/>
          <w:sz w:val="20"/>
        </w:rPr>
        <w:t>，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官方仓库与主结果表 (https://github.com/djghosh13/geneval)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T2I-CompBench++：TPAMI 2025 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官方仓库 (https://github.com/Karine-Huang/T2I-CompBench)</w:t>
      </w:r>
      <w:r>
        <w:rPr>
          <w:rFonts w:ascii="Microsoft YaHei" w:hAnsi="Microsoft YaHei" w:eastAsia="Microsoft YaHei"/>
          <w:b w:val="0"/>
          <w:i w:val="0"/>
          <w:sz w:val="20"/>
        </w:rPr>
        <w:t>，Table XIII（8,000 prompts，11 个模型）。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SCDA 本地实验：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COCO2017_TOKEN_PAIR_RECORD.md (../experiments/COCO2017_TOKEN_PAIR_RECORD.md)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LEARNABLE_BRANCH_LAYER_METRICS_REPORT.md (LEARNABLE_BRANCH_LAYER_METRICS_REPORT.md)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