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80"/>
        <w:jc w:val="center"/>
      </w:pPr>
      <w:r>
        <w:rPr>
          <w:rFonts w:ascii="Times New Roman" w:hAnsi="Times New Roman" w:eastAsia="Microsoft YaHei"/>
          <w:b/>
          <w:i w:val="0"/>
          <w:color w:val="1F4D78"/>
          <w:sz w:val="36"/>
        </w:rPr>
        <w:t>面向文本语义分层条件的 PixArt 扩散 Transformer 适配器：设计、训练稳定性与负结果分析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摘要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文本到图像扩散模型在复杂提示词下常出现对象遗漏、属性绑定错误和关系不遵循等问题。为在不依赖边界框、分割掩码或人工场景图标注的前提下增强文本条件表达，本文设计了文本语义条件扩散适配器（Semantic-Conditioned DiT Adapter, SCDA）。该方法以英文提示词为输入，利用依存句法和规则伪标注得到对象、属性和关系 token 掩码；随后将全局、对象、属性和关系四类 T5 条件分别池化，经零初始化瓶颈适配器映射为残差，并按照 DiT 层级和扩散时间步注入 PixArt 图像 token。训练时冻结 PixArt 主干与 T5，仅更新新增适配器、层级尺度及时间门控参数。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在 8,617 条 COCO2014 样本上进行的 10 epoch 训练表明，SCDA 可稳定收敛。为避免单样本或单随机种子结论，本文在 64 条固定文本、3 个随机种子、512x512、DPM-Solver 20 步、CFG=4.0 的统一协议下，对 baseline、两组历史 gate 试验、原始改进 SCDA 及加入残差正则的 SCDA 使用 CLIP ViT-B/32 重评分。baseline 的 CLIP 均值为 0.273209，原始改进 SCDA 为 0.264862，加入正则后为 0.268161；正则方案较原始 SCDA 提升 1.25%，但仍较 baseline 低 1.85%。结果表明，残差正则减轻了退化并保持数值稳定，但尚未证实整体文本图像一致性超过 baseline。</w:t>
      </w:r>
    </w:p>
    <w:p>
      <w:pPr>
        <w:spacing w:after="180"/>
      </w:pPr>
      <w:r>
        <w:rPr>
          <w:rFonts w:ascii="Times New Roman" w:hAnsi="Times New Roman" w:eastAsia="Microsoft YaHei"/>
          <w:b/>
          <w:i w:val="0"/>
          <w:sz w:val="21"/>
        </w:rPr>
        <w:t>关键词：</w:t>
      </w:r>
      <w:r>
        <w:rPr>
          <w:rFonts w:ascii="Times New Roman" w:hAnsi="Times New Roman" w:eastAsia="Microsoft YaHei"/>
          <w:b w:val="0"/>
          <w:i w:val="0"/>
          <w:sz w:val="21"/>
        </w:rPr>
        <w:t xml:space="preserve"> 文本到图像生成；扩散 Transformer；PixArt；条件适配器；文本图像一致性；负结果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1. 引言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扩散 Transformer（Diffusion Transformer, DiT）将图像潜变量建模为 token 序列，并使用文本编码器输出作为条件进行迭代去噪。PixArt 等模型具备较强的开放域生成能力，但提示词中的全局场景、对象、属性与对象间关系通常以同一文本序列进入 cross-attention。模型需要隐式决定不同词语的作用时机与重要性，在多对象、细粒度属性和空间/动作关系场景中可能产生对象竞争、属性串位或关系失真。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显式可控生成往往依赖边界框、分割图、姿态或场景图，这些控制信号提高了标注和推理成本。本文研究一个更受限的问题：仅利用原始英文文本，能否以轻量、参数高效的方式向已有 PixArt 主干增加语义角色信息？为此，我们构建 SCDA：用句法规则从文本中得到对象、属性、关系伪标签；将语义角色汇聚成四种条件；再以零初始化残差在不同 DiT 层与时间步注入。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本文的贡献在于方法实现、可复现实验协议及负结果分析，而不是宣称已取得超越 baseline 的效果。第一，给出从词级依存分析到 T5 子词的字符区间对齐流程。第二，给出不改变原 cross-attention 且可由零初始化保证初始等价性的语义残差结构。第三，在训练与推理配置一致的前提下完成多 seed 评测，并报告当前方法未超过 baseline 的结果。第四，基于此结果给出明确的实验决策规则，避免通过选择性提示词或单 seed 夸大收益。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2. 相关工作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DiT 在潜空间中通过 Transformer 去噪，文本条件通常经 cross-attention 或条件归一化进入网络。PixArt-α 采用 T5-XXL 文本特征和大规模 DiT 结构，是研究条件注入机制的合适基础。参数高效微调中的 adapter、低秩更新与残差调制提供了在冻结主干时加入新能力的思路。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文本图像一致性和组合生成研究关注对象存在、计数、属性绑定、空间关系与动作关系。CLIPScore 可作为整体图文语义相似性的自动代理，但不能充分衡量组合关系。因此，本文将 CLIP 用于统一的初步比较，而不将其视为唯一的结构遵循证据。结构化文本条件常采用场景图或检测标注；SCDA 的差异在于只使用规则伪标注，代价是必须面对标签噪声与对齐误差。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3. 方法</w:t>
      </w: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3.1 问题定义与基线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给定提示词 p、扩散时间步 t、干净潜变量 z0 和噪声 epsilon，去噪网络预测噪声的标准目标为：</w:t>
      </w:r>
    </w:p>
    <w:p>
      <w:pPr>
        <w:spacing w:after="100" w:before="6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L_diff = E[||epsilon - epsilon_theta(z_t, t, p)||^2]。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PixArt 将 T5 token 表示投影到隐藏维度 D=1152，并在每个 DiT block 的文本 cross-attention 中使用完整文本序列。SCDA 保留这一路径，因此任何性能变化可归因于新增的残差条件，而非删除或替换基线文本条件。</w:t>
      </w: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3.2 弱监督语义角色标注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对英文 prompt 使用 spaCy 依存分析和规则进行标注。名词或专有名词短语中心词标为对象；amod、compound、nummod、poss 等修饰词标为属性；动词及其宾语、介词短语等标为关系。为与预先提取的 T5 特征一致，文本先经过与特征提取相同的清洗流程。对于 spaCy 词区间 (s_i,e_i) 与 T5 fast tokenizer 子词区间 (a_j,b_j)，若两者存在正长度交叠，则该子词属于相应语义组。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每个样本保存三个二值掩码 M_obj、M_attr、M_rel，形状为 [3,120]。全局条件使用 T5 attention mask。该标注不声称是人工真值；它是可扩展的弱监督信号，后续应通过人工抽样估计其 precision、recall 和错误模式。</w:t>
      </w: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3.3 语义池化与零初始化适配器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设 Y 为投影后的文本 token，v 为有效 token 掩码，m^k 为类别 k 的掩码。第 k 类条件为：</w:t>
      </w:r>
    </w:p>
    <w:p>
      <w:pPr>
        <w:spacing w:after="100" w:before="6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c^k = sum_j(m_j^k v_j Y_j) / max(1, sum_j m_j^k v_j)，k 属于 {global, object, attribute, relation}。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空类别的输出为零。每一类通过一个 bottleneck adapter 变换：A_k(c)=W_up,k SiLU(W_down,k c)。本实验中 bottleneck 维度 r=64；上投影和 bias 被置零。因此在初始状态 A_k(c)=0，加载同一 PixArt checkpoint 时 SCDA 初始前向与 baseline 等价。</w:t>
      </w: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3.4 层级和时间步注入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对第 l 个 block，残差表示为：</w:t>
      </w:r>
    </w:p>
    <w:p>
      <w:pPr>
        <w:spacing w:after="100" w:before="6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R_l(t) = s * sum_k u_lk beta_lk gamma_k(t) A_k(c^k)，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其中 u_lk 是固定层窗口，beta_lk 是可学习尺度，gamma_k(t)=sigmoid(W_t e_t)_k 是时间门控，s 是全局残差系数。全局分支作用于全部层；对象分支作用于前半层；关系分支作用于中间层；属性分支作用于后半层且避开最后四层。该分配是待验证的归纳偏置，而非已经被实验证实的最佳策略。</w:t>
      </w: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3.5 训练策略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主干 PixArt 和 T5 均冻结。可训练部分包括四个 adapter、28x4 层级尺度和时间门控，总计约 0.60M 参数。对象、属性与关系分支以 0.1 的概率独立 dropout，全局条件始终保留。训练仍只使用扩散噪声预测损失，没有直接的对象、属性或关系监督项。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4. 实验设置</w:t>
      </w: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4.1 数据、硬件和训练配置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主实验使用 COCO2014Prepared10K 中可用的 8,617 条样本及其 512 分辨率 VAE 特征、T5 caption 特征和语义掩码，在一张 NVIDIA L20（46 GB）上训练 10 epoch，共 2,700 step。batch size 为 32，AdamW 学习率为 5e-5，weight decay 为 0.03，adapter dim 为 64，semantic dropout 为 0.1，残差系数为 0.25，启用 global、object、attribute、relation 四个分支。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为验证链路，还进行过 512 条样本、160 step 的 SCDA pilot。历史上存在 Gate v2 与 Gate v3 两组训练日志，但其完整训练配置未全部留存，本文只将其作为可评分的历史对照，不将其用于严格的训练参数因果分析。</w:t>
      </w: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4.2 统一生成与评价协议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所有可生成方法使用 `asset/samples.txt` 的 64 条固定文本和种子 43、44、45，共 192 张图像/方法。统一使用 512x512、DPM-Solver、20 step、CFG=4.0。改进 SCDA 推理显式设置 semantic_residual_scale=0.25，与训练一致。使用本地 CLIP ViT-B/32 计算匹配 prompt 与图像 embedding 的余弦相似度。对于超过 CLIP 位置上限的提示词，以 77 token 截断；这一规则对所有方法相同。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目前未准备完整且对齐的真实 COCO 参考图像集合，因此不报告 FID/KID，且不以图像清晰度或熵等代理指标代替保真度结论。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5. 结果</w:t>
      </w: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5.1 训练稳定性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SCDA pilot 的扩散损失从 0.2076 降至 0.1516，语义残差范数从 0 增长至 0.0577，未出现 NaN/Inf。全量 improved SCDA 的最终 diffusion loss 为 0.132721，最终梯度范数为 0.009002，semantic residual norm 为 0.407930，10 epoch 内未出现 NaN/Inf。这证明新增路径被优化器激活并且训练数值稳定；但扩散损失和残差范数本身不是文本一致性提升的证据。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方法</w:t>
            </w:r>
          </w:p>
        </w:tc>
        <w:tc>
          <w:tcPr>
            <w:tcW w:type="dxa" w:w="2436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数据/步数</w:t>
            </w:r>
          </w:p>
        </w:tc>
        <w:tc>
          <w:tcPr>
            <w:tcW w:type="dxa" w:w="2436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关键配置</w:t>
            </w:r>
          </w:p>
        </w:tc>
        <w:tc>
          <w:tcPr>
            <w:tcW w:type="dxa" w:w="2436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可核验训练结果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Gate v2 / Trial 02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历史日志 70 点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完整配置缺失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loss 0.1907 -&gt; 0.1513；历史记录曾出现 grad_norm NaN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Gate v3 / Trial 09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历史日志 70 点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neutrality + consistency 正则；其余缺失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loss 0.1908 -&gt; 0.1519；日志无 NaN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SCDA pilot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512 条，160 step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冻结主干；语义 adapter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loss 0.2076 -&gt; 0.1516；residual 0 -&gt; 0.0577；无 NaN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SCDA improved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8,617 条，2,700 step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r=64, lr=5e-5, wd=0.03, dropout=0.1, s=0.25, 全分支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final loss 0.132721；residual 0.407930；无 NaN/Inf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5.2 多种子文本图像一致性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表中“总体均值”按 192 张图像直接平均；“图级标准差”刻画不同 prompt 的离散程度。由于每个方法只使用 3 个 seed，本文不把小数差距解释为统计显著性，而是将其作为当前协议下的方向性证据。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方法</w:t>
            </w:r>
          </w:p>
        </w:tc>
        <w:tc>
          <w:tcPr>
            <w:tcW w:type="dxa" w:w="1392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seed 43</w:t>
            </w:r>
          </w:p>
        </w:tc>
        <w:tc>
          <w:tcPr>
            <w:tcW w:type="dxa" w:w="1392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seed 44</w:t>
            </w:r>
          </w:p>
        </w:tc>
        <w:tc>
          <w:tcPr>
            <w:tcW w:type="dxa" w:w="1392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seed 45</w:t>
            </w:r>
          </w:p>
        </w:tc>
        <w:tc>
          <w:tcPr>
            <w:tcW w:type="dxa" w:w="1392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总体 CLIP 均值</w:t>
            </w:r>
          </w:p>
        </w:tc>
        <w:tc>
          <w:tcPr>
            <w:tcW w:type="dxa" w:w="1392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图级标准差</w:t>
            </w:r>
          </w:p>
        </w:tc>
        <w:tc>
          <w:tcPr>
            <w:tcW w:type="dxa" w:w="1392"/>
            <w:shd w:fill="E8EEF5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相对 baseline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Frozen PixArt baseline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0.273054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0.266827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0.279745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0.273209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0.066340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0.00%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Trial 02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0.260878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0.258000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0.259319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0.259399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0.056447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-5.06%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Trial 09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0.260015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0.254790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0.255296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0.256700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0.056175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-6.05%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SCDA improved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0.265700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0.264239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0.264648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0.264862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0.058155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-3.06%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SCDA loss_reg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0.271075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0.264239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0.269169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0.268161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0.065450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-1.85%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SCDA global+object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0.270117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0.263931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0.267111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0.267053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0.067150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-2.25%</w:t>
            </w:r>
          </w:p>
        </w:tc>
      </w:tr>
    </w:tbl>
    <w:p>
      <w:pPr>
        <w:spacing w:after="40"/>
      </w:pP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在三个 seed 中，baseline 均高于 SCDA 版本；loss_reg 在 seed 43 接近 baseline，但 seed 44/45 仍低于 baseline。global+object 消融均值为 0.267053，低于四分支 loss_reg 的 0.268161，说明在当前设置下移除属性和关系分支没有带来整体 CLIP 增益。因此，当前结果不能支持“SCDA 整体 CLIP 优于 baseline”的假设；残差正则仍是目前最优的 SCDA 配置，但尚未恢复到基线水平。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6. 讨论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第一，稳定训练与有效生成并不等价。loss_reg 的最终 total/diffusion/semantic-reg loss 分别为 0.133204/0.133001/0.020297，残差范数为 0.136511，低于原始 SCDA 的 0.407930；CLIP 同步上升但仍未超过 baseline，说明“更小残差”是必要的稳定性因素，却不是充分的语义监督。标准扩散损失仅要求拟合训练噪声，并不直接约束对象计数、属性绑定或关系遵循。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第二，伪标签质量可能构成上限。对象、属性、关系由规则解析得到，其中属性和关系天然比名词更依赖上下文。错误切分、T5 子词对齐偏差或缺失标注都可能把不可靠信号广播到所有图像 token。当前只有掩码存在比例，没有人工标签质量估计，因而不能判断问题主要来自模型结构还是输入监督。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第三，当前完整方法把四分支同时打开，无法区分哪一支带来收益或退化。对象分支可能有助于主体显著性，而关系分支的噪声可能拉低整体分数；残差系数 0.25 只是保守首选，不是通过搜索确定的最优值。没有消融的“完整方法”不能证明各组件有效。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第四，CLIP 对整体风格和实体语义敏感，但对“红色球在蓝色盒子左侧”等可验证关系不够充分；64 条文本也混合了短文本、风格词堆叠和长叙述。仅报告总体 CLIP 容易掩盖特定能力的变化。更严谨的结论需补充对象、属性、关系分组的 GenEval/T2I-CompBench/VQA 评分与人工盲评。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7. 后续实验方案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后续实验按以下顺序执行，并在每一步使用同一 64x3 快速筛选协议：</w:t>
      </w:r>
    </w:p>
    <w:p>
      <w:pPr>
        <w:spacing w:after="6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1. 残差强度扫描。测试 s=0.10、0.25、0.50、1.00，固定其余训练和推理设置。候选配置必须在至少两个 seed 上不低于 baseline，才进入扩大评测。</w:t>
      </w:r>
    </w:p>
    <w:p>
      <w:pPr>
        <w:spacing w:after="6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2. 语义分支消融。比较 object、object+attribute 与 all，使用上一步最优残差系数。关系分支只有在关系 prompt 子集存在清晰增益时才保留。</w:t>
      </w:r>
    </w:p>
    <w:p>
      <w:pPr>
        <w:spacing w:after="6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3. 伪标签审计。随机抽取至少 200 条 prompt，对对象、属性、关系标注 precision/recall/F1，并记录多词实体、否定、并列、介词短语和长文本的失败模式。</w:t>
      </w:r>
    </w:p>
    <w:p>
      <w:pPr>
        <w:spacing w:after="6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4. 评测扩展。构建对象、属性、关系三类各不少于 100 条的 prompt 集，每个配置至少使用 5 个 seed，报告均值、标准差和分组结果；同时引入 GenEval、T2I-CompBench 或可复核 VQA 评分。</w:t>
      </w:r>
    </w:p>
    <w:p>
      <w:pPr>
        <w:spacing w:after="6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5. 图像质量评估。准备固定的真实 COCO reference 和一致预处理后计算 FID/KID；只有在一致性和质量都不退化时才考虑进一步训练。</w:t>
      </w:r>
    </w:p>
    <w:p>
      <w:pPr>
        <w:spacing w:after="6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6. 目标函数改进。在完成上述诊断后，再考虑加入低权重、可控的语义一致性或偏好目标，并以小规模试验确认不会损伤图像质量。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8. 结论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本文实现了 SCDA，一种面向 PixArt 的参数高效文本语义分层条件适配器。方法利用规则伪标签构造对象、属性和关系条件，以零初始化 adapter、层级窗口和时间门控注入残差。实验确认该方案在 8,617 条样本上的训练稳定且可复现；加入残差正则后 CLIP 从 0.264862 提升至 0.268161，但仍低于 baseline 的 0.273209。故当前工作应被视为一个稳定、可用于消融的研究原型，而非已证实优于 PixArt baseline 的方法。下一阶段应优先缩小设计空间、审计伪标签、采用结构化分项指标并引入真实图像质量评价。</w:t>
      </w:r>
    </w:p>
    <w:p>
      <w:pPr>
        <w:keepNext/>
        <w:spacing w:before="240" w:after="10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参考文献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[1] Peebles W, Xie S. Scalable Diffusion Models with Transformers. ICCV, 2023.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[2] Chen J, Wu Y, Luo S, et al. PixArt-alpha: Fast Training of Diffusion Transformer for Photorealistic Text-to-Image Synthesis. ICLR, 2024.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[3] Radford A, Kim J W, Hallacy C, et al. Learning Transferable Visual Models From Natural Language Supervision. ICML, 2021.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[4] Hessel J, Holtzman A, Forbes M, et al. CLIPScore: A Reference-free Evaluation Metric for Image Captioning. EMNLP, 2021.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[5] Gokhale T, et al. Benchmarking Spatial Relationships in Text-to-Image Generation. arXiv:2305.05418, 2023.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[6] Ghosh D, et al. Geneval: An Object-Focused Framework for Evaluating Text-to-Image Alignment. NeurIPS,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Microsoft YaHei"/>
        <w:b w:val="0"/>
        <w:i w:val="0"/>
        <w:color w:val="777777"/>
        <w:sz w:val="17"/>
      </w:rPr>
      <w:t>2026-08-30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Microsoft YaHei"/>
        <w:b w:val="0"/>
        <w:i w:val="0"/>
        <w:color w:val="777777"/>
        <w:sz w:val="17"/>
      </w:rPr>
      <w:t>SCDA for PixArt | Research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