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772EB" w14:textId="77777777" w:rsidR="00562C12" w:rsidRDefault="00562C12" w:rsidP="00EA10D0">
      <w:pPr>
        <w:jc w:val="center"/>
        <w:outlineLvl w:val="0"/>
        <w:rPr>
          <w:b/>
          <w:sz w:val="22"/>
          <w:szCs w:val="22"/>
        </w:rPr>
      </w:pPr>
      <w:r w:rsidRPr="00063AEC">
        <w:rPr>
          <w:b/>
          <w:sz w:val="22"/>
          <w:szCs w:val="22"/>
        </w:rPr>
        <w:t xml:space="preserve">Lucile </w:t>
      </w:r>
      <w:r>
        <w:rPr>
          <w:b/>
          <w:sz w:val="22"/>
          <w:szCs w:val="22"/>
        </w:rPr>
        <w:t xml:space="preserve">Salter </w:t>
      </w:r>
      <w:r w:rsidRPr="00063AEC">
        <w:rPr>
          <w:b/>
          <w:sz w:val="22"/>
          <w:szCs w:val="22"/>
        </w:rPr>
        <w:t>Packard Children’s Hospital</w:t>
      </w:r>
      <w:r>
        <w:rPr>
          <w:b/>
          <w:sz w:val="22"/>
          <w:szCs w:val="22"/>
        </w:rPr>
        <w:t xml:space="preserve"> at Stanford</w:t>
      </w:r>
    </w:p>
    <w:p w14:paraId="7CE08699" w14:textId="77777777" w:rsidR="006E345D" w:rsidRPr="00063AEC" w:rsidRDefault="006E345D" w:rsidP="00EA10D0">
      <w:pPr>
        <w:jc w:val="center"/>
        <w:outlineLvl w:val="0"/>
        <w:rPr>
          <w:b/>
          <w:sz w:val="22"/>
          <w:szCs w:val="22"/>
        </w:rPr>
      </w:pPr>
      <w:r>
        <w:rPr>
          <w:b/>
          <w:sz w:val="22"/>
          <w:szCs w:val="22"/>
        </w:rPr>
        <w:t xml:space="preserve">OSHPD Facility # </w:t>
      </w:r>
      <w:r w:rsidRPr="006E345D">
        <w:rPr>
          <w:b/>
          <w:sz w:val="22"/>
          <w:szCs w:val="22"/>
        </w:rPr>
        <w:t>106434040</w:t>
      </w:r>
    </w:p>
    <w:p w14:paraId="4C9884B5" w14:textId="77777777" w:rsidR="00562C12" w:rsidRPr="00063AEC" w:rsidRDefault="00562C12" w:rsidP="00EA10D0">
      <w:pPr>
        <w:jc w:val="center"/>
        <w:outlineLvl w:val="0"/>
        <w:rPr>
          <w:b/>
          <w:sz w:val="22"/>
          <w:szCs w:val="22"/>
        </w:rPr>
      </w:pPr>
      <w:r w:rsidRPr="00063AEC">
        <w:rPr>
          <w:b/>
          <w:sz w:val="22"/>
          <w:szCs w:val="22"/>
        </w:rPr>
        <w:t>Chargemaster and 25 Common Outpatient Procedures</w:t>
      </w:r>
    </w:p>
    <w:p w14:paraId="1227E79A" w14:textId="77777777" w:rsidR="00562C12" w:rsidRPr="00063AEC" w:rsidRDefault="00562C12" w:rsidP="00562C12">
      <w:pPr>
        <w:jc w:val="center"/>
        <w:rPr>
          <w:b/>
        </w:rPr>
      </w:pPr>
    </w:p>
    <w:p w14:paraId="1FECBC3D" w14:textId="77777777" w:rsidR="006F5A55" w:rsidRDefault="00562C12" w:rsidP="00562C12">
      <w:pPr>
        <w:jc w:val="both"/>
        <w:rPr>
          <w:sz w:val="22"/>
          <w:szCs w:val="22"/>
        </w:rPr>
      </w:pPr>
      <w:r w:rsidRPr="00063AEC">
        <w:rPr>
          <w:sz w:val="22"/>
          <w:szCs w:val="22"/>
        </w:rPr>
        <w:t xml:space="preserve">In accordance with California Health and Safety Code Section 1339.51, Lucile </w:t>
      </w:r>
      <w:r>
        <w:rPr>
          <w:sz w:val="22"/>
          <w:szCs w:val="22"/>
        </w:rPr>
        <w:t xml:space="preserve">Salter </w:t>
      </w:r>
      <w:r w:rsidRPr="00063AEC">
        <w:rPr>
          <w:sz w:val="22"/>
          <w:szCs w:val="22"/>
        </w:rPr>
        <w:t xml:space="preserve">Packard Children’s Hospital </w:t>
      </w:r>
      <w:r>
        <w:rPr>
          <w:sz w:val="22"/>
          <w:szCs w:val="22"/>
        </w:rPr>
        <w:t xml:space="preserve">at </w:t>
      </w:r>
      <w:r w:rsidRPr="00476A20">
        <w:rPr>
          <w:sz w:val="22"/>
          <w:szCs w:val="22"/>
        </w:rPr>
        <w:t>Stanford (LPCH) has made available to the public its CDM and a list of 25 common services or procedures</w:t>
      </w:r>
      <w:r w:rsidR="00EA10D0">
        <w:rPr>
          <w:sz w:val="22"/>
          <w:szCs w:val="22"/>
        </w:rPr>
        <w:t xml:space="preserve"> </w:t>
      </w:r>
      <w:r w:rsidR="00EA10D0" w:rsidRPr="0086615D">
        <w:rPr>
          <w:sz w:val="22"/>
          <w:szCs w:val="22"/>
        </w:rPr>
        <w:t>and calculation of percentage change in gross revenue</w:t>
      </w:r>
      <w:r w:rsidRPr="0086615D">
        <w:rPr>
          <w:sz w:val="22"/>
          <w:szCs w:val="22"/>
        </w:rPr>
        <w:t>. Requests to view</w:t>
      </w:r>
      <w:r w:rsidRPr="00476A20">
        <w:rPr>
          <w:sz w:val="22"/>
          <w:szCs w:val="22"/>
        </w:rPr>
        <w:t xml:space="preserve"> the CDM and related patient questions regarding the Hospital Chargemaster Program should be directed</w:t>
      </w:r>
      <w:r w:rsidR="006F5A55">
        <w:rPr>
          <w:sz w:val="22"/>
          <w:szCs w:val="22"/>
        </w:rPr>
        <w:t xml:space="preserve"> to:</w:t>
      </w:r>
    </w:p>
    <w:p w14:paraId="57FE39F7" w14:textId="77777777" w:rsidR="006F5A55" w:rsidRDefault="006F5A55" w:rsidP="00562C12">
      <w:pPr>
        <w:jc w:val="both"/>
        <w:rPr>
          <w:sz w:val="22"/>
          <w:szCs w:val="22"/>
        </w:rPr>
      </w:pPr>
    </w:p>
    <w:p w14:paraId="4F028F59" w14:textId="77777777" w:rsidR="0027663C" w:rsidRDefault="0027663C" w:rsidP="00562C12">
      <w:pPr>
        <w:jc w:val="both"/>
        <w:rPr>
          <w:sz w:val="22"/>
          <w:szCs w:val="22"/>
        </w:rPr>
      </w:pPr>
      <w:r>
        <w:rPr>
          <w:sz w:val="22"/>
          <w:szCs w:val="22"/>
        </w:rPr>
        <w:t>CDM and Revenue Capture Department: CDM@stanfordchildrens.org</w:t>
      </w:r>
    </w:p>
    <w:p w14:paraId="30422246" w14:textId="77777777" w:rsidR="00562C12" w:rsidRPr="00476A20" w:rsidRDefault="006F5A55" w:rsidP="00EA10D0">
      <w:pPr>
        <w:jc w:val="both"/>
        <w:outlineLvl w:val="0"/>
        <w:rPr>
          <w:sz w:val="22"/>
          <w:szCs w:val="22"/>
        </w:rPr>
      </w:pPr>
      <w:r>
        <w:rPr>
          <w:sz w:val="22"/>
          <w:szCs w:val="22"/>
        </w:rPr>
        <w:t>300 Pasteur Drive, MC 55</w:t>
      </w:r>
      <w:r w:rsidR="00B97AFC">
        <w:rPr>
          <w:sz w:val="22"/>
          <w:szCs w:val="22"/>
        </w:rPr>
        <w:t>82</w:t>
      </w:r>
      <w:r>
        <w:rPr>
          <w:sz w:val="22"/>
          <w:szCs w:val="22"/>
        </w:rPr>
        <w:t>, Palo Alto, CA 94305</w:t>
      </w:r>
      <w:r w:rsidR="00562C12" w:rsidRPr="00476A20">
        <w:rPr>
          <w:sz w:val="22"/>
          <w:szCs w:val="22"/>
        </w:rPr>
        <w:t xml:space="preserve"> </w:t>
      </w:r>
    </w:p>
    <w:p w14:paraId="7429A235" w14:textId="77777777" w:rsidR="00562C12" w:rsidRPr="00476A20" w:rsidRDefault="00562C12" w:rsidP="00562C12">
      <w:pPr>
        <w:pBdr>
          <w:bottom w:val="single" w:sz="6" w:space="1" w:color="auto"/>
        </w:pBdr>
        <w:jc w:val="both"/>
      </w:pPr>
    </w:p>
    <w:p w14:paraId="7C40AFBB" w14:textId="77777777" w:rsidR="00562C12" w:rsidRPr="00476A20" w:rsidRDefault="00562C12" w:rsidP="00562C12">
      <w:pPr>
        <w:jc w:val="both"/>
      </w:pPr>
    </w:p>
    <w:p w14:paraId="58A2891A" w14:textId="5A5FC0F2" w:rsidR="00F515C3" w:rsidRDefault="00F515C3" w:rsidP="00F515C3">
      <w:pPr>
        <w:jc w:val="both"/>
        <w:rPr>
          <w:sz w:val="22"/>
          <w:szCs w:val="22"/>
        </w:rPr>
      </w:pPr>
      <w:r w:rsidRPr="008E4EB0">
        <w:rPr>
          <w:sz w:val="22"/>
          <w:szCs w:val="22"/>
        </w:rPr>
        <w:t xml:space="preserve">Our board approved a </w:t>
      </w:r>
      <w:r w:rsidR="00B05F60">
        <w:rPr>
          <w:sz w:val="22"/>
          <w:szCs w:val="22"/>
        </w:rPr>
        <w:t>7</w:t>
      </w:r>
      <w:r w:rsidRPr="008E4EB0">
        <w:rPr>
          <w:sz w:val="22"/>
          <w:szCs w:val="22"/>
        </w:rPr>
        <w:t>% price increase for Fiscal Year 20</w:t>
      </w:r>
      <w:r w:rsidR="00C11142">
        <w:rPr>
          <w:sz w:val="22"/>
          <w:szCs w:val="22"/>
        </w:rPr>
        <w:t>2</w:t>
      </w:r>
      <w:r w:rsidR="00394318">
        <w:rPr>
          <w:sz w:val="22"/>
          <w:szCs w:val="22"/>
        </w:rPr>
        <w:t>1</w:t>
      </w:r>
      <w:r w:rsidRPr="008E4EB0">
        <w:rPr>
          <w:sz w:val="22"/>
          <w:szCs w:val="22"/>
        </w:rPr>
        <w:t xml:space="preserve"> (effective 9/1/</w:t>
      </w:r>
      <w:r w:rsidR="00394318">
        <w:rPr>
          <w:sz w:val="22"/>
          <w:szCs w:val="22"/>
        </w:rPr>
        <w:t>2020</w:t>
      </w:r>
      <w:r w:rsidR="00B948F6">
        <w:rPr>
          <w:sz w:val="22"/>
          <w:szCs w:val="22"/>
        </w:rPr>
        <w:t>)</w:t>
      </w:r>
      <w:r w:rsidRPr="008E4EB0">
        <w:rPr>
          <w:sz w:val="22"/>
          <w:szCs w:val="22"/>
        </w:rPr>
        <w:t>. Our prices were adjusted to achieve a</w:t>
      </w:r>
      <w:r w:rsidR="00410915">
        <w:rPr>
          <w:sz w:val="22"/>
          <w:szCs w:val="22"/>
        </w:rPr>
        <w:t>n approximately</w:t>
      </w:r>
      <w:r w:rsidRPr="008E4EB0">
        <w:rPr>
          <w:sz w:val="22"/>
          <w:szCs w:val="22"/>
        </w:rPr>
        <w:t xml:space="preserve"> </w:t>
      </w:r>
      <w:r w:rsidR="00B05F60">
        <w:rPr>
          <w:sz w:val="22"/>
          <w:szCs w:val="22"/>
        </w:rPr>
        <w:t>7</w:t>
      </w:r>
      <w:r w:rsidRPr="008E4EB0">
        <w:rPr>
          <w:sz w:val="22"/>
          <w:szCs w:val="22"/>
        </w:rPr>
        <w:t>% overall</w:t>
      </w:r>
      <w:r w:rsidR="007E3921">
        <w:rPr>
          <w:sz w:val="22"/>
          <w:szCs w:val="22"/>
        </w:rPr>
        <w:t xml:space="preserve"> gross charge revenue</w:t>
      </w:r>
      <w:r w:rsidRPr="008E4EB0">
        <w:rPr>
          <w:sz w:val="22"/>
          <w:szCs w:val="22"/>
        </w:rPr>
        <w:t xml:space="preserve"> increase.</w:t>
      </w:r>
    </w:p>
    <w:p w14:paraId="6E728123" w14:textId="77777777" w:rsidR="002B765C" w:rsidRDefault="002B765C" w:rsidP="00F515C3">
      <w:pPr>
        <w:jc w:val="both"/>
        <w:rPr>
          <w:sz w:val="22"/>
          <w:szCs w:val="22"/>
        </w:rPr>
      </w:pPr>
    </w:p>
    <w:p w14:paraId="39D0FBA0" w14:textId="59AD6C8E" w:rsidR="003914DD" w:rsidRDefault="007E3921" w:rsidP="003914DD">
      <w:pPr>
        <w:rPr>
          <w:rFonts w:ascii="Arial" w:hAnsi="Arial" w:cs="Arial"/>
          <w:sz w:val="20"/>
          <w:szCs w:val="20"/>
        </w:rPr>
      </w:pPr>
      <w:r>
        <w:rPr>
          <w:rFonts w:ascii="Arial" w:hAnsi="Arial" w:cs="Arial"/>
          <w:sz w:val="20"/>
          <w:szCs w:val="20"/>
        </w:rPr>
        <w:t>METHODOLOGY-</w:t>
      </w:r>
      <w:r w:rsidR="003914DD">
        <w:rPr>
          <w:rFonts w:ascii="Arial" w:hAnsi="Arial" w:cs="Arial"/>
          <w:sz w:val="20"/>
          <w:szCs w:val="20"/>
        </w:rPr>
        <w:t xml:space="preserve"> </w:t>
      </w:r>
    </w:p>
    <w:p w14:paraId="2151EFC9" w14:textId="1FA74854" w:rsidR="003914DD" w:rsidRDefault="003914DD" w:rsidP="003914DD">
      <w:pPr>
        <w:rPr>
          <w:rFonts w:ascii="Arial" w:hAnsi="Arial" w:cs="Arial"/>
          <w:sz w:val="20"/>
          <w:szCs w:val="20"/>
        </w:rPr>
      </w:pPr>
      <w:r>
        <w:rPr>
          <w:rFonts w:ascii="Arial" w:hAnsi="Arial" w:cs="Arial"/>
          <w:sz w:val="20"/>
          <w:szCs w:val="20"/>
        </w:rPr>
        <w:t xml:space="preserve">Increase in gross revenue (as IGR): </w:t>
      </w:r>
      <w:proofErr w:type="gramStart"/>
      <w:r>
        <w:rPr>
          <w:rFonts w:ascii="Arial" w:hAnsi="Arial" w:cs="Arial"/>
          <w:sz w:val="20"/>
          <w:szCs w:val="20"/>
        </w:rPr>
        <w:t>∑[</w:t>
      </w:r>
      <w:proofErr w:type="gramEnd"/>
      <w:r>
        <w:rPr>
          <w:rFonts w:ascii="Arial" w:hAnsi="Arial" w:cs="Arial"/>
          <w:sz w:val="20"/>
          <w:szCs w:val="20"/>
        </w:rPr>
        <w:t>Price (</w:t>
      </w:r>
      <w:r w:rsidR="007E3921">
        <w:rPr>
          <w:rFonts w:ascii="Arial" w:hAnsi="Arial" w:cs="Arial"/>
          <w:sz w:val="20"/>
          <w:szCs w:val="20"/>
        </w:rPr>
        <w:t>9/1/</w:t>
      </w:r>
      <w:r w:rsidR="00394318">
        <w:rPr>
          <w:rFonts w:ascii="Arial" w:hAnsi="Arial" w:cs="Arial"/>
          <w:sz w:val="20"/>
          <w:szCs w:val="20"/>
        </w:rPr>
        <w:t>202</w:t>
      </w:r>
      <w:r w:rsidR="009B79F8">
        <w:rPr>
          <w:rFonts w:ascii="Arial" w:hAnsi="Arial" w:cs="Arial"/>
          <w:sz w:val="20"/>
          <w:szCs w:val="20"/>
        </w:rPr>
        <w:t>1</w:t>
      </w:r>
      <w:r>
        <w:rPr>
          <w:rFonts w:ascii="Arial" w:hAnsi="Arial" w:cs="Arial"/>
          <w:sz w:val="20"/>
          <w:szCs w:val="20"/>
        </w:rPr>
        <w:t>) – Price (</w:t>
      </w:r>
      <w:r w:rsidR="007E3921">
        <w:rPr>
          <w:rFonts w:ascii="Arial" w:hAnsi="Arial" w:cs="Arial"/>
          <w:sz w:val="20"/>
          <w:szCs w:val="20"/>
        </w:rPr>
        <w:t>9/1/</w:t>
      </w:r>
      <w:r w:rsidR="00394318">
        <w:rPr>
          <w:rFonts w:ascii="Arial" w:hAnsi="Arial" w:cs="Arial"/>
          <w:sz w:val="20"/>
          <w:szCs w:val="20"/>
        </w:rPr>
        <w:t>20</w:t>
      </w:r>
      <w:r w:rsidR="009B79F8">
        <w:rPr>
          <w:rFonts w:ascii="Arial" w:hAnsi="Arial" w:cs="Arial"/>
          <w:sz w:val="20"/>
          <w:szCs w:val="20"/>
        </w:rPr>
        <w:t>20</w:t>
      </w:r>
      <w:r>
        <w:rPr>
          <w:rFonts w:ascii="Arial" w:hAnsi="Arial" w:cs="Arial"/>
          <w:sz w:val="20"/>
          <w:szCs w:val="20"/>
        </w:rPr>
        <w:t>)] X [YTD usage</w:t>
      </w:r>
      <w:r w:rsidR="00410915">
        <w:rPr>
          <w:rFonts w:ascii="Arial" w:hAnsi="Arial" w:cs="Arial"/>
          <w:sz w:val="20"/>
          <w:szCs w:val="20"/>
        </w:rPr>
        <w:t xml:space="preserve"> (annualized for 12 months)</w:t>
      </w:r>
      <w:r>
        <w:rPr>
          <w:rFonts w:ascii="Arial" w:hAnsi="Arial" w:cs="Arial"/>
          <w:sz w:val="20"/>
          <w:szCs w:val="20"/>
        </w:rPr>
        <w:t xml:space="preserve">]  </w:t>
      </w:r>
    </w:p>
    <w:p w14:paraId="5F68B082" w14:textId="77777777" w:rsidR="003914DD" w:rsidRDefault="003914DD" w:rsidP="003914DD">
      <w:pPr>
        <w:jc w:val="both"/>
        <w:rPr>
          <w:b/>
          <w:sz w:val="22"/>
          <w:szCs w:val="22"/>
        </w:rPr>
      </w:pPr>
      <w:r>
        <w:rPr>
          <w:rFonts w:ascii="Arial" w:hAnsi="Arial" w:cs="Arial"/>
          <w:sz w:val="20"/>
          <w:szCs w:val="20"/>
        </w:rPr>
        <w:t xml:space="preserve">% change in revenue: IGR / </w:t>
      </w:r>
      <w:r w:rsidR="00410915">
        <w:rPr>
          <w:rFonts w:ascii="Arial" w:hAnsi="Arial" w:cs="Arial"/>
          <w:sz w:val="20"/>
          <w:szCs w:val="20"/>
        </w:rPr>
        <w:t xml:space="preserve">annualized </w:t>
      </w:r>
      <w:r>
        <w:rPr>
          <w:rFonts w:ascii="Arial" w:hAnsi="Arial" w:cs="Arial"/>
          <w:sz w:val="20"/>
          <w:szCs w:val="20"/>
        </w:rPr>
        <w:t>gross revenue</w:t>
      </w:r>
    </w:p>
    <w:p w14:paraId="4E4857CC" w14:textId="77777777" w:rsidR="003914DD" w:rsidRDefault="003914DD" w:rsidP="003914DD">
      <w:pPr>
        <w:jc w:val="both"/>
        <w:rPr>
          <w:b/>
          <w:sz w:val="22"/>
          <w:szCs w:val="22"/>
        </w:rPr>
      </w:pPr>
    </w:p>
    <w:p w14:paraId="485D0E84" w14:textId="77777777" w:rsidR="003914DD" w:rsidRDefault="003914DD" w:rsidP="003914DD">
      <w:pPr>
        <w:rPr>
          <w:rFonts w:ascii="Arial" w:hAnsi="Arial" w:cs="Arial"/>
          <w:bCs/>
          <w:i/>
          <w:sz w:val="20"/>
          <w:szCs w:val="20"/>
        </w:rPr>
      </w:pPr>
      <w:r w:rsidRPr="008F36A9">
        <w:rPr>
          <w:rFonts w:ascii="Arial" w:hAnsi="Arial" w:cs="Arial"/>
          <w:bCs/>
          <w:i/>
          <w:sz w:val="20"/>
          <w:szCs w:val="20"/>
        </w:rPr>
        <w:t>The estimated change in revenue using the above calculations is</w:t>
      </w:r>
      <w:r>
        <w:rPr>
          <w:rFonts w:ascii="Arial" w:hAnsi="Arial" w:cs="Arial"/>
          <w:bCs/>
          <w:i/>
          <w:sz w:val="20"/>
          <w:szCs w:val="20"/>
        </w:rPr>
        <w:t>:</w:t>
      </w:r>
    </w:p>
    <w:p w14:paraId="3502BCE3" w14:textId="77777777" w:rsidR="002B765C" w:rsidRDefault="002B765C" w:rsidP="00F515C3">
      <w:pPr>
        <w:jc w:val="both"/>
        <w:rPr>
          <w:sz w:val="22"/>
          <w:szCs w:val="22"/>
        </w:rPr>
      </w:pPr>
    </w:p>
    <w:p w14:paraId="45152FA0" w14:textId="10F4D633" w:rsidR="001A5363" w:rsidRDefault="001A5363" w:rsidP="001A5363">
      <w:pPr>
        <w:rPr>
          <w:rFonts w:ascii="Arial" w:hAnsi="Arial" w:cs="Arial"/>
          <w:sz w:val="20"/>
          <w:szCs w:val="20"/>
        </w:rPr>
      </w:pPr>
      <w:bookmarkStart w:id="0" w:name="_Hlk75163237"/>
      <w:r>
        <w:rPr>
          <w:b/>
          <w:bCs/>
          <w:color w:val="000000"/>
        </w:rPr>
        <w:t>$</w:t>
      </w:r>
      <w:r w:rsidR="009B79F8">
        <w:rPr>
          <w:b/>
          <w:bCs/>
          <w:color w:val="000000"/>
        </w:rPr>
        <w:t>371</w:t>
      </w:r>
      <w:r>
        <w:rPr>
          <w:b/>
          <w:bCs/>
          <w:color w:val="000000"/>
        </w:rPr>
        <w:t>,</w:t>
      </w:r>
      <w:r w:rsidR="009B79F8">
        <w:rPr>
          <w:b/>
          <w:bCs/>
          <w:color w:val="000000"/>
        </w:rPr>
        <w:t>730</w:t>
      </w:r>
      <w:r>
        <w:rPr>
          <w:b/>
          <w:bCs/>
          <w:color w:val="000000"/>
        </w:rPr>
        <w:t>,</w:t>
      </w:r>
      <w:r w:rsidR="009B79F8">
        <w:rPr>
          <w:b/>
          <w:bCs/>
          <w:color w:val="000000"/>
        </w:rPr>
        <w:t>516</w:t>
      </w:r>
      <w:r>
        <w:rPr>
          <w:b/>
          <w:bCs/>
          <w:color w:val="000000"/>
        </w:rPr>
        <w:t xml:space="preserve"> </w:t>
      </w:r>
      <w:bookmarkEnd w:id="0"/>
      <w:r>
        <w:rPr>
          <w:b/>
          <w:bCs/>
          <w:color w:val="000000"/>
        </w:rPr>
        <w:t xml:space="preserve">/ </w:t>
      </w:r>
      <w:r w:rsidR="000A2559" w:rsidRPr="000A2559">
        <w:rPr>
          <w:rFonts w:ascii="Calibri" w:hAnsi="Calibri" w:cs="Calibri"/>
          <w:b/>
          <w:bCs/>
        </w:rPr>
        <w:t>$</w:t>
      </w:r>
      <w:r w:rsidR="009B79F8" w:rsidRPr="000A2559">
        <w:rPr>
          <w:rFonts w:ascii="Calibri" w:hAnsi="Calibri" w:cs="Calibri"/>
          <w:b/>
          <w:bCs/>
        </w:rPr>
        <w:t>5,305,537,279</w:t>
      </w:r>
      <w:r w:rsidR="000A2559" w:rsidRPr="000A2559">
        <w:rPr>
          <w:rFonts w:ascii="Calibri" w:hAnsi="Calibri" w:cs="Calibri"/>
          <w:b/>
          <w:bCs/>
          <w:sz w:val="20"/>
          <w:szCs w:val="20"/>
        </w:rPr>
        <w:t xml:space="preserve"> </w:t>
      </w:r>
      <w:r>
        <w:rPr>
          <w:rFonts w:ascii="Arial" w:hAnsi="Arial" w:cs="Arial"/>
          <w:b/>
          <w:bCs/>
          <w:sz w:val="20"/>
          <w:szCs w:val="20"/>
        </w:rPr>
        <w:t>= 7.00%</w:t>
      </w:r>
    </w:p>
    <w:p w14:paraId="58D0DAD3" w14:textId="77777777" w:rsidR="002B765C" w:rsidRDefault="002B765C" w:rsidP="00F515C3">
      <w:pPr>
        <w:jc w:val="both"/>
        <w:rPr>
          <w:sz w:val="22"/>
          <w:szCs w:val="22"/>
        </w:rPr>
      </w:pPr>
    </w:p>
    <w:p w14:paraId="5F67B85A" w14:textId="77777777" w:rsidR="00F515C3" w:rsidRDefault="00F515C3" w:rsidP="00EA10D0">
      <w:pPr>
        <w:jc w:val="both"/>
        <w:outlineLvl w:val="0"/>
        <w:rPr>
          <w:b/>
          <w:sz w:val="22"/>
          <w:szCs w:val="22"/>
        </w:rPr>
      </w:pPr>
    </w:p>
    <w:p w14:paraId="29183D86" w14:textId="77777777" w:rsidR="00562C12" w:rsidRPr="00063AEC" w:rsidRDefault="00562C12" w:rsidP="00EA10D0">
      <w:pPr>
        <w:jc w:val="both"/>
        <w:outlineLvl w:val="0"/>
        <w:rPr>
          <w:b/>
          <w:sz w:val="22"/>
          <w:szCs w:val="22"/>
        </w:rPr>
      </w:pPr>
      <w:r w:rsidRPr="00063AEC">
        <w:rPr>
          <w:b/>
          <w:sz w:val="22"/>
          <w:szCs w:val="22"/>
        </w:rPr>
        <w:t>Notice Regarding the Hospital Chargemaster and 25 Common Outpatient Procedures:</w:t>
      </w:r>
    </w:p>
    <w:p w14:paraId="21FCF594" w14:textId="77777777" w:rsidR="00562C12" w:rsidRPr="00063AEC" w:rsidRDefault="00562C12" w:rsidP="00562C12">
      <w:pPr>
        <w:jc w:val="both"/>
        <w:rPr>
          <w:sz w:val="22"/>
          <w:szCs w:val="22"/>
        </w:rPr>
      </w:pPr>
    </w:p>
    <w:p w14:paraId="0065F594" w14:textId="5AE18022" w:rsidR="00562C12" w:rsidRDefault="00562C12" w:rsidP="00562C12">
      <w:pPr>
        <w:jc w:val="both"/>
        <w:rPr>
          <w:sz w:val="22"/>
          <w:szCs w:val="22"/>
        </w:rPr>
      </w:pPr>
      <w:r w:rsidRPr="00063AEC">
        <w:rPr>
          <w:sz w:val="22"/>
          <w:szCs w:val="22"/>
        </w:rPr>
        <w:t>Many charges contained in these documents are subject to various periodic changes in the cost of items subject to vendors, manufacturers and others who supply these items to L</w:t>
      </w:r>
      <w:r>
        <w:rPr>
          <w:sz w:val="22"/>
          <w:szCs w:val="22"/>
        </w:rPr>
        <w:t>P</w:t>
      </w:r>
      <w:r w:rsidRPr="00063AEC">
        <w:rPr>
          <w:sz w:val="22"/>
          <w:szCs w:val="22"/>
        </w:rPr>
        <w:t>CH. The information provided herein was effective on June 1, 20</w:t>
      </w:r>
      <w:r w:rsidR="00394318">
        <w:rPr>
          <w:sz w:val="22"/>
          <w:szCs w:val="22"/>
        </w:rPr>
        <w:t>21</w:t>
      </w:r>
      <w:r w:rsidRPr="00063AEC">
        <w:rPr>
          <w:sz w:val="22"/>
          <w:szCs w:val="22"/>
        </w:rPr>
        <w:t>. These charges may have changed since this date due to new technology, added or eliminated services, goods and/ or procedures, etc. The information contained in th</w:t>
      </w:r>
      <w:r>
        <w:rPr>
          <w:sz w:val="22"/>
          <w:szCs w:val="22"/>
        </w:rPr>
        <w:t>ese</w:t>
      </w:r>
      <w:r w:rsidRPr="00063AEC">
        <w:rPr>
          <w:sz w:val="22"/>
          <w:szCs w:val="22"/>
        </w:rPr>
        <w:t xml:space="preserve"> document</w:t>
      </w:r>
      <w:r>
        <w:rPr>
          <w:sz w:val="22"/>
          <w:szCs w:val="22"/>
        </w:rPr>
        <w:t>s is</w:t>
      </w:r>
      <w:r w:rsidRPr="00063AEC">
        <w:rPr>
          <w:sz w:val="22"/>
          <w:szCs w:val="22"/>
        </w:rPr>
        <w:t xml:space="preserve"> specific to this facility.</w:t>
      </w:r>
    </w:p>
    <w:p w14:paraId="628AD4D4" w14:textId="77777777" w:rsidR="00B82804" w:rsidRDefault="00B82804" w:rsidP="00562C12">
      <w:pPr>
        <w:jc w:val="both"/>
        <w:rPr>
          <w:sz w:val="22"/>
          <w:szCs w:val="22"/>
        </w:rPr>
      </w:pPr>
    </w:p>
    <w:p w14:paraId="0313AD5A" w14:textId="297DD1AC" w:rsidR="00B82804" w:rsidRPr="00063AEC" w:rsidRDefault="00B82804" w:rsidP="00B82804">
      <w:pPr>
        <w:jc w:val="both"/>
        <w:rPr>
          <w:sz w:val="22"/>
          <w:szCs w:val="22"/>
        </w:rPr>
      </w:pPr>
      <w:r w:rsidRPr="0086615D">
        <w:rPr>
          <w:sz w:val="22"/>
          <w:szCs w:val="22"/>
        </w:rPr>
        <w:t>The pharmacy prices do not exist in the chargemaster as they are calculated based on a formula and the current reference cost in our pharmacy module.  The pharmacy prices may vary depending on when new reference cost</w:t>
      </w:r>
      <w:r w:rsidR="00C47B07">
        <w:rPr>
          <w:sz w:val="22"/>
          <w:szCs w:val="22"/>
        </w:rPr>
        <w:t>s</w:t>
      </w:r>
      <w:r w:rsidRPr="0086615D">
        <w:rPr>
          <w:sz w:val="22"/>
          <w:szCs w:val="22"/>
        </w:rPr>
        <w:t xml:space="preserve"> from </w:t>
      </w:r>
      <w:r w:rsidR="00C47B07">
        <w:rPr>
          <w:sz w:val="22"/>
          <w:szCs w:val="22"/>
        </w:rPr>
        <w:t>our formulary service vendor are</w:t>
      </w:r>
      <w:r w:rsidRPr="0086615D">
        <w:rPr>
          <w:sz w:val="22"/>
          <w:szCs w:val="22"/>
        </w:rPr>
        <w:t xml:space="preserve"> loaded into our system.  The pharmacy price listed in the chargemaster is the average price based on year to date revenue </w:t>
      </w:r>
      <w:r w:rsidR="0086615D">
        <w:rPr>
          <w:sz w:val="22"/>
          <w:szCs w:val="22"/>
        </w:rPr>
        <w:t xml:space="preserve">and </w:t>
      </w:r>
      <w:r w:rsidRPr="0086615D">
        <w:rPr>
          <w:sz w:val="22"/>
          <w:szCs w:val="22"/>
        </w:rPr>
        <w:t>usage.</w:t>
      </w:r>
      <w:r>
        <w:rPr>
          <w:sz w:val="22"/>
          <w:szCs w:val="22"/>
        </w:rPr>
        <w:t xml:space="preserve">  </w:t>
      </w:r>
    </w:p>
    <w:p w14:paraId="24EDF983" w14:textId="77777777" w:rsidR="00562C12" w:rsidRPr="00063AEC" w:rsidRDefault="00562C12" w:rsidP="00562C12">
      <w:pPr>
        <w:jc w:val="both"/>
        <w:rPr>
          <w:sz w:val="22"/>
          <w:szCs w:val="22"/>
        </w:rPr>
      </w:pPr>
    </w:p>
    <w:p w14:paraId="5889E9B0" w14:textId="77777777" w:rsidR="00562C12" w:rsidRPr="00063AEC" w:rsidRDefault="00562C12" w:rsidP="00562C12">
      <w:pPr>
        <w:jc w:val="both"/>
        <w:rPr>
          <w:sz w:val="22"/>
          <w:szCs w:val="22"/>
        </w:rPr>
      </w:pPr>
      <w:r w:rsidRPr="00063AEC">
        <w:rPr>
          <w:sz w:val="22"/>
          <w:szCs w:val="22"/>
        </w:rPr>
        <w:t xml:space="preserve">The charges contained in these documents are the same for all patients of this facility regardless of insurance program or coverage. </w:t>
      </w:r>
      <w:r w:rsidRPr="00063AEC">
        <w:rPr>
          <w:i/>
          <w:sz w:val="22"/>
          <w:szCs w:val="22"/>
        </w:rPr>
        <w:t>However, they do not reflect expected reimbursement</w:t>
      </w:r>
      <w:r w:rsidRPr="00063AEC">
        <w:rPr>
          <w:sz w:val="22"/>
          <w:szCs w:val="22"/>
        </w:rPr>
        <w:t>, since health plans negotiate reimbursement rates based on a number of factors. Other issues affecting reimbursement could include whether a procedure was done on inpatient or outpatient basis, physician orders, complications, and/or medical necessity.</w:t>
      </w:r>
    </w:p>
    <w:p w14:paraId="3DD6E047" w14:textId="77777777" w:rsidR="00562C12" w:rsidRPr="00063AEC" w:rsidRDefault="00562C12" w:rsidP="00562C12">
      <w:pPr>
        <w:jc w:val="both"/>
        <w:rPr>
          <w:sz w:val="22"/>
          <w:szCs w:val="22"/>
        </w:rPr>
      </w:pPr>
    </w:p>
    <w:p w14:paraId="7766C760" w14:textId="77777777" w:rsidR="00EA10D0" w:rsidRDefault="00562C12" w:rsidP="00562C12">
      <w:pPr>
        <w:jc w:val="both"/>
        <w:rPr>
          <w:sz w:val="22"/>
          <w:szCs w:val="22"/>
        </w:rPr>
      </w:pPr>
      <w:r w:rsidRPr="00063AEC">
        <w:rPr>
          <w:sz w:val="22"/>
          <w:szCs w:val="22"/>
        </w:rPr>
        <w:t xml:space="preserve">The physician orders, based on his/her examination and treatment of the patient, are the key components to which services and procedures are charged to an individual patient. There are many components that comprise one hospital bill. For example, one stay could include surgical procedures, supplies, pharmaceuticals, numerous tests, (i.e., x-rays, laboratory), respiratory and </w:t>
      </w:r>
      <w:r w:rsidRPr="00063AEC">
        <w:rPr>
          <w:sz w:val="22"/>
          <w:szCs w:val="22"/>
        </w:rPr>
        <w:lastRenderedPageBreak/>
        <w:t>physical therapy and so forth (all based on a physician’s orders). Please not</w:t>
      </w:r>
      <w:r>
        <w:rPr>
          <w:sz w:val="22"/>
          <w:szCs w:val="22"/>
        </w:rPr>
        <w:t>e</w:t>
      </w:r>
      <w:r w:rsidRPr="00063AEC">
        <w:rPr>
          <w:sz w:val="22"/>
          <w:szCs w:val="22"/>
        </w:rPr>
        <w:t xml:space="preserve"> that these charges do not include professional fee (</w:t>
      </w:r>
      <w:proofErr w:type="spellStart"/>
      <w:r w:rsidRPr="00063AEC">
        <w:rPr>
          <w:sz w:val="22"/>
          <w:szCs w:val="22"/>
        </w:rPr>
        <w:t>eg.</w:t>
      </w:r>
      <w:proofErr w:type="spellEnd"/>
      <w:r w:rsidRPr="00063AEC">
        <w:rPr>
          <w:sz w:val="22"/>
          <w:szCs w:val="22"/>
        </w:rPr>
        <w:t xml:space="preserve"> physicians’) charges.</w:t>
      </w:r>
    </w:p>
    <w:p w14:paraId="3CFBA7EF" w14:textId="77777777" w:rsidR="00F515C3" w:rsidRDefault="00F515C3" w:rsidP="00562C12">
      <w:pPr>
        <w:jc w:val="both"/>
        <w:rPr>
          <w:sz w:val="22"/>
          <w:szCs w:val="22"/>
        </w:rPr>
      </w:pPr>
    </w:p>
    <w:p w14:paraId="1D66519F" w14:textId="77777777" w:rsidR="00DB45D1" w:rsidRDefault="00562C12" w:rsidP="00562C12">
      <w:pPr>
        <w:jc w:val="center"/>
        <w:rPr>
          <w:b/>
          <w:sz w:val="22"/>
          <w:szCs w:val="22"/>
        </w:rPr>
      </w:pPr>
      <w:r w:rsidRPr="00063AEC">
        <w:rPr>
          <w:b/>
          <w:sz w:val="22"/>
          <w:szCs w:val="22"/>
        </w:rPr>
        <w:t>Therefore, this document should not be used to estimate the final patient cost of a given hospital visit. It i</w:t>
      </w:r>
      <w:r>
        <w:rPr>
          <w:b/>
          <w:sz w:val="22"/>
          <w:szCs w:val="22"/>
        </w:rPr>
        <w:t>s provided for information</w:t>
      </w:r>
      <w:r w:rsidR="000B41F6">
        <w:rPr>
          <w:b/>
          <w:sz w:val="22"/>
          <w:szCs w:val="22"/>
        </w:rPr>
        <w:t>al purposes</w:t>
      </w:r>
      <w:r>
        <w:rPr>
          <w:b/>
          <w:sz w:val="22"/>
          <w:szCs w:val="22"/>
        </w:rPr>
        <w:t xml:space="preserve"> only.</w:t>
      </w:r>
    </w:p>
    <w:p w14:paraId="7955F369" w14:textId="77777777" w:rsidR="008E4EB0" w:rsidRPr="00562C12" w:rsidRDefault="008E4EB0" w:rsidP="008E4EB0">
      <w:pPr>
        <w:rPr>
          <w:b/>
          <w:sz w:val="22"/>
          <w:szCs w:val="22"/>
        </w:rPr>
      </w:pPr>
    </w:p>
    <w:sectPr w:rsidR="008E4EB0" w:rsidRPr="00562C12" w:rsidSect="008158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30E22"/>
    <w:multiLevelType w:val="hybridMultilevel"/>
    <w:tmpl w:val="70062B3C"/>
    <w:lvl w:ilvl="0" w:tplc="04090001">
      <w:start w:val="30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A59BA"/>
    <w:multiLevelType w:val="hybridMultilevel"/>
    <w:tmpl w:val="43E4F198"/>
    <w:lvl w:ilvl="0" w:tplc="04090001">
      <w:start w:val="30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C12"/>
    <w:rsid w:val="00086E88"/>
    <w:rsid w:val="000A2559"/>
    <w:rsid w:val="000B41F6"/>
    <w:rsid w:val="000C7072"/>
    <w:rsid w:val="00113FD3"/>
    <w:rsid w:val="00141BCC"/>
    <w:rsid w:val="00162201"/>
    <w:rsid w:val="00187780"/>
    <w:rsid w:val="001A5363"/>
    <w:rsid w:val="001D42A8"/>
    <w:rsid w:val="001D63CF"/>
    <w:rsid w:val="00222D08"/>
    <w:rsid w:val="0027663C"/>
    <w:rsid w:val="00282D33"/>
    <w:rsid w:val="002B765C"/>
    <w:rsid w:val="002C0E6F"/>
    <w:rsid w:val="002C538F"/>
    <w:rsid w:val="0033688C"/>
    <w:rsid w:val="00343A90"/>
    <w:rsid w:val="0035165D"/>
    <w:rsid w:val="003577F3"/>
    <w:rsid w:val="00390763"/>
    <w:rsid w:val="003914DD"/>
    <w:rsid w:val="00394318"/>
    <w:rsid w:val="003B0BB6"/>
    <w:rsid w:val="003D713E"/>
    <w:rsid w:val="004103D1"/>
    <w:rsid w:val="00410915"/>
    <w:rsid w:val="00441FA8"/>
    <w:rsid w:val="00442323"/>
    <w:rsid w:val="00482CF7"/>
    <w:rsid w:val="004D4831"/>
    <w:rsid w:val="004D61F0"/>
    <w:rsid w:val="00506605"/>
    <w:rsid w:val="005249CB"/>
    <w:rsid w:val="00536A58"/>
    <w:rsid w:val="00562C12"/>
    <w:rsid w:val="005D3A71"/>
    <w:rsid w:val="005F33CD"/>
    <w:rsid w:val="0068532E"/>
    <w:rsid w:val="006C3D7F"/>
    <w:rsid w:val="006E345D"/>
    <w:rsid w:val="006F5A55"/>
    <w:rsid w:val="006F6BBB"/>
    <w:rsid w:val="007065F3"/>
    <w:rsid w:val="00720B73"/>
    <w:rsid w:val="00762588"/>
    <w:rsid w:val="007A51E1"/>
    <w:rsid w:val="007E3921"/>
    <w:rsid w:val="007E6860"/>
    <w:rsid w:val="008158B8"/>
    <w:rsid w:val="00860893"/>
    <w:rsid w:val="0086615D"/>
    <w:rsid w:val="008A1D6F"/>
    <w:rsid w:val="008A6114"/>
    <w:rsid w:val="008C28F0"/>
    <w:rsid w:val="008E37A7"/>
    <w:rsid w:val="008E4EB0"/>
    <w:rsid w:val="00933136"/>
    <w:rsid w:val="00933776"/>
    <w:rsid w:val="0095236E"/>
    <w:rsid w:val="0097565A"/>
    <w:rsid w:val="009864F9"/>
    <w:rsid w:val="009B79F8"/>
    <w:rsid w:val="009C3612"/>
    <w:rsid w:val="009E1285"/>
    <w:rsid w:val="009E3FAA"/>
    <w:rsid w:val="00A62D3A"/>
    <w:rsid w:val="00A87E51"/>
    <w:rsid w:val="00AA20A3"/>
    <w:rsid w:val="00AD532E"/>
    <w:rsid w:val="00B05F60"/>
    <w:rsid w:val="00B133E2"/>
    <w:rsid w:val="00B3694E"/>
    <w:rsid w:val="00B3737F"/>
    <w:rsid w:val="00B6097F"/>
    <w:rsid w:val="00B7742A"/>
    <w:rsid w:val="00B82804"/>
    <w:rsid w:val="00B948F6"/>
    <w:rsid w:val="00B97AFC"/>
    <w:rsid w:val="00BC1029"/>
    <w:rsid w:val="00C11142"/>
    <w:rsid w:val="00C27935"/>
    <w:rsid w:val="00C3123A"/>
    <w:rsid w:val="00C47B07"/>
    <w:rsid w:val="00CE486D"/>
    <w:rsid w:val="00D04DEF"/>
    <w:rsid w:val="00DA68A6"/>
    <w:rsid w:val="00DB45D1"/>
    <w:rsid w:val="00E526D0"/>
    <w:rsid w:val="00E77ECF"/>
    <w:rsid w:val="00EA10D0"/>
    <w:rsid w:val="00F00CF6"/>
    <w:rsid w:val="00F515C3"/>
    <w:rsid w:val="00F6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ECD0C"/>
  <w15:docId w15:val="{05517E29-FDA8-4495-8506-F1D20D63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C1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F5A55"/>
    <w:rPr>
      <w:rFonts w:ascii="Tahoma" w:hAnsi="Tahoma" w:cs="Tahoma"/>
      <w:sz w:val="16"/>
      <w:szCs w:val="16"/>
    </w:rPr>
  </w:style>
  <w:style w:type="paragraph" w:styleId="DocumentMap">
    <w:name w:val="Document Map"/>
    <w:basedOn w:val="Normal"/>
    <w:semiHidden/>
    <w:rsid w:val="00EA10D0"/>
    <w:pPr>
      <w:shd w:val="clear" w:color="auto" w:fill="000080"/>
    </w:pPr>
    <w:rPr>
      <w:rFonts w:ascii="Tahoma" w:hAnsi="Tahoma" w:cs="Tahoma"/>
      <w:sz w:val="20"/>
      <w:szCs w:val="20"/>
    </w:rPr>
  </w:style>
  <w:style w:type="paragraph" w:styleId="ListParagraph">
    <w:name w:val="List Paragraph"/>
    <w:basedOn w:val="Normal"/>
    <w:uiPriority w:val="34"/>
    <w:qFormat/>
    <w:rsid w:val="00222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55510">
      <w:bodyDiv w:val="1"/>
      <w:marLeft w:val="0"/>
      <w:marRight w:val="0"/>
      <w:marTop w:val="0"/>
      <w:marBottom w:val="0"/>
      <w:divBdr>
        <w:top w:val="none" w:sz="0" w:space="0" w:color="auto"/>
        <w:left w:val="none" w:sz="0" w:space="0" w:color="auto"/>
        <w:bottom w:val="none" w:sz="0" w:space="0" w:color="auto"/>
        <w:right w:val="none" w:sz="0" w:space="0" w:color="auto"/>
      </w:divBdr>
    </w:div>
    <w:div w:id="266430144">
      <w:bodyDiv w:val="1"/>
      <w:marLeft w:val="0"/>
      <w:marRight w:val="0"/>
      <w:marTop w:val="0"/>
      <w:marBottom w:val="0"/>
      <w:divBdr>
        <w:top w:val="none" w:sz="0" w:space="0" w:color="auto"/>
        <w:left w:val="none" w:sz="0" w:space="0" w:color="auto"/>
        <w:bottom w:val="none" w:sz="0" w:space="0" w:color="auto"/>
        <w:right w:val="none" w:sz="0" w:space="0" w:color="auto"/>
      </w:divBdr>
    </w:div>
    <w:div w:id="428815797">
      <w:bodyDiv w:val="1"/>
      <w:marLeft w:val="0"/>
      <w:marRight w:val="0"/>
      <w:marTop w:val="0"/>
      <w:marBottom w:val="0"/>
      <w:divBdr>
        <w:top w:val="none" w:sz="0" w:space="0" w:color="auto"/>
        <w:left w:val="none" w:sz="0" w:space="0" w:color="auto"/>
        <w:bottom w:val="none" w:sz="0" w:space="0" w:color="auto"/>
        <w:right w:val="none" w:sz="0" w:space="0" w:color="auto"/>
      </w:divBdr>
    </w:div>
    <w:div w:id="733357561">
      <w:bodyDiv w:val="1"/>
      <w:marLeft w:val="0"/>
      <w:marRight w:val="0"/>
      <w:marTop w:val="0"/>
      <w:marBottom w:val="0"/>
      <w:divBdr>
        <w:top w:val="none" w:sz="0" w:space="0" w:color="auto"/>
        <w:left w:val="none" w:sz="0" w:space="0" w:color="auto"/>
        <w:bottom w:val="none" w:sz="0" w:space="0" w:color="auto"/>
        <w:right w:val="none" w:sz="0" w:space="0" w:color="auto"/>
      </w:divBdr>
    </w:div>
    <w:div w:id="766777736">
      <w:bodyDiv w:val="1"/>
      <w:marLeft w:val="0"/>
      <w:marRight w:val="0"/>
      <w:marTop w:val="0"/>
      <w:marBottom w:val="0"/>
      <w:divBdr>
        <w:top w:val="none" w:sz="0" w:space="0" w:color="auto"/>
        <w:left w:val="none" w:sz="0" w:space="0" w:color="auto"/>
        <w:bottom w:val="none" w:sz="0" w:space="0" w:color="auto"/>
        <w:right w:val="none" w:sz="0" w:space="0" w:color="auto"/>
      </w:divBdr>
    </w:div>
    <w:div w:id="887492266">
      <w:bodyDiv w:val="1"/>
      <w:marLeft w:val="0"/>
      <w:marRight w:val="0"/>
      <w:marTop w:val="0"/>
      <w:marBottom w:val="0"/>
      <w:divBdr>
        <w:top w:val="none" w:sz="0" w:space="0" w:color="auto"/>
        <w:left w:val="none" w:sz="0" w:space="0" w:color="auto"/>
        <w:bottom w:val="none" w:sz="0" w:space="0" w:color="auto"/>
        <w:right w:val="none" w:sz="0" w:space="0" w:color="auto"/>
      </w:divBdr>
    </w:div>
    <w:div w:id="929125402">
      <w:bodyDiv w:val="1"/>
      <w:marLeft w:val="0"/>
      <w:marRight w:val="0"/>
      <w:marTop w:val="0"/>
      <w:marBottom w:val="0"/>
      <w:divBdr>
        <w:top w:val="none" w:sz="0" w:space="0" w:color="auto"/>
        <w:left w:val="none" w:sz="0" w:space="0" w:color="auto"/>
        <w:bottom w:val="none" w:sz="0" w:space="0" w:color="auto"/>
        <w:right w:val="none" w:sz="0" w:space="0" w:color="auto"/>
      </w:divBdr>
    </w:div>
    <w:div w:id="972254759">
      <w:bodyDiv w:val="1"/>
      <w:marLeft w:val="0"/>
      <w:marRight w:val="0"/>
      <w:marTop w:val="0"/>
      <w:marBottom w:val="0"/>
      <w:divBdr>
        <w:top w:val="none" w:sz="0" w:space="0" w:color="auto"/>
        <w:left w:val="none" w:sz="0" w:space="0" w:color="auto"/>
        <w:bottom w:val="none" w:sz="0" w:space="0" w:color="auto"/>
        <w:right w:val="none" w:sz="0" w:space="0" w:color="auto"/>
      </w:divBdr>
    </w:div>
    <w:div w:id="1113667720">
      <w:bodyDiv w:val="1"/>
      <w:marLeft w:val="0"/>
      <w:marRight w:val="0"/>
      <w:marTop w:val="0"/>
      <w:marBottom w:val="0"/>
      <w:divBdr>
        <w:top w:val="none" w:sz="0" w:space="0" w:color="auto"/>
        <w:left w:val="none" w:sz="0" w:space="0" w:color="auto"/>
        <w:bottom w:val="none" w:sz="0" w:space="0" w:color="auto"/>
        <w:right w:val="none" w:sz="0" w:space="0" w:color="auto"/>
      </w:divBdr>
    </w:div>
    <w:div w:id="1256598960">
      <w:bodyDiv w:val="1"/>
      <w:marLeft w:val="0"/>
      <w:marRight w:val="0"/>
      <w:marTop w:val="0"/>
      <w:marBottom w:val="0"/>
      <w:divBdr>
        <w:top w:val="none" w:sz="0" w:space="0" w:color="auto"/>
        <w:left w:val="none" w:sz="0" w:space="0" w:color="auto"/>
        <w:bottom w:val="none" w:sz="0" w:space="0" w:color="auto"/>
        <w:right w:val="none" w:sz="0" w:space="0" w:color="auto"/>
      </w:divBdr>
    </w:div>
    <w:div w:id="1458570420">
      <w:bodyDiv w:val="1"/>
      <w:marLeft w:val="0"/>
      <w:marRight w:val="0"/>
      <w:marTop w:val="0"/>
      <w:marBottom w:val="0"/>
      <w:divBdr>
        <w:top w:val="none" w:sz="0" w:space="0" w:color="auto"/>
        <w:left w:val="none" w:sz="0" w:space="0" w:color="auto"/>
        <w:bottom w:val="none" w:sz="0" w:space="0" w:color="auto"/>
        <w:right w:val="none" w:sz="0" w:space="0" w:color="auto"/>
      </w:divBdr>
    </w:div>
    <w:div w:id="1690717269">
      <w:bodyDiv w:val="1"/>
      <w:marLeft w:val="0"/>
      <w:marRight w:val="0"/>
      <w:marTop w:val="0"/>
      <w:marBottom w:val="0"/>
      <w:divBdr>
        <w:top w:val="none" w:sz="0" w:space="0" w:color="auto"/>
        <w:left w:val="none" w:sz="0" w:space="0" w:color="auto"/>
        <w:bottom w:val="none" w:sz="0" w:space="0" w:color="auto"/>
        <w:right w:val="none" w:sz="0" w:space="0" w:color="auto"/>
      </w:divBdr>
    </w:div>
    <w:div w:id="187546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473</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Lucile Salter Packard Children’s Hospital at Stanford</vt:lpstr>
    </vt:vector>
  </TitlesOfParts>
  <Company>Stanford Hospital and Clinics</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Lucile Salter Packard Children’s Hospital at Stanford</dc:title>
  <dc:creator>SUMC</dc:creator>
  <cp:lastModifiedBy>Ravi, Sri</cp:lastModifiedBy>
  <cp:revision>7</cp:revision>
  <cp:lastPrinted>2008-06-17T19:51:00Z</cp:lastPrinted>
  <dcterms:created xsi:type="dcterms:W3CDTF">2020-06-18T05:54:00Z</dcterms:created>
  <dcterms:modified xsi:type="dcterms:W3CDTF">2021-06-21T17:21:00Z</dcterms:modified>
</cp:coreProperties>
</file>