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2AF" w:rsidRPr="00867C1A" w:rsidRDefault="00867C1A" w:rsidP="00867C1A">
      <w:pPr>
        <w:pStyle w:val="2"/>
        <w:rPr>
          <w:sz w:val="20"/>
        </w:rPr>
      </w:pPr>
      <w:r>
        <w:rPr>
          <w:rFonts w:hint="eastAsia"/>
          <w:sz w:val="24"/>
        </w:rPr>
        <w:t>1.</w:t>
      </w:r>
      <w:r w:rsidR="004D0292" w:rsidRPr="00867C1A">
        <w:rPr>
          <w:rFonts w:hint="eastAsia"/>
          <w:sz w:val="24"/>
        </w:rPr>
        <w:t>设备树增加“位置”“测点”层次。</w:t>
      </w:r>
      <w:r w:rsidR="0017013B" w:rsidRPr="00867C1A">
        <w:rPr>
          <w:rFonts w:hint="eastAsia"/>
          <w:sz w:val="24"/>
        </w:rPr>
        <w:t>位置及测点属性内容参考</w:t>
      </w:r>
      <w:r w:rsidR="0017013B" w:rsidRPr="00867C1A">
        <w:rPr>
          <w:rFonts w:hint="eastAsia"/>
          <w:sz w:val="24"/>
        </w:rPr>
        <w:t>PMS4.</w:t>
      </w:r>
    </w:p>
    <w:p w:rsidR="004D0292" w:rsidRDefault="006B1724" w:rsidP="004D029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05.95pt;margin-top:61.7pt;width:67.35pt;height:22.45pt;z-index:251661312">
            <v:textbox>
              <w:txbxContent>
                <w:p w:rsidR="004D0292" w:rsidRDefault="004D0292" w:rsidP="004D0292">
                  <w:r>
                    <w:rPr>
                      <w:rFonts w:hint="eastAsia"/>
                    </w:rPr>
                    <w:t>测点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left:0;text-align:left;margin-left:205.95pt;margin-top:30.65pt;width:67.35pt;height:22.45pt;z-index:251660288">
            <v:textbox>
              <w:txbxContent>
                <w:p w:rsidR="004D0292" w:rsidRDefault="004D0292">
                  <w:r>
                    <w:rPr>
                      <w:rFonts w:hint="eastAsia"/>
                    </w:rPr>
                    <w:t>位置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06.2pt;margin-top:68.4pt;width:99.75pt;height:63.4pt;flip:x;z-index:251659264" o:connectortype="straight">
            <v:stroke endarrow="block"/>
          </v:shape>
        </w:pict>
      </w:r>
      <w:r>
        <w:rPr>
          <w:noProof/>
        </w:rPr>
        <w:pict>
          <v:shape id="_x0000_s2050" type="#_x0000_t32" style="position:absolute;left:0;text-align:left;margin-left:106.2pt;margin-top:53.1pt;width:99.75pt;height:63.4pt;flip:x;z-index:251658240" o:connectortype="straight">
            <v:stroke endarrow="block"/>
          </v:shape>
        </w:pict>
      </w:r>
      <w:r w:rsidR="004D0292">
        <w:rPr>
          <w:noProof/>
        </w:rPr>
        <w:drawing>
          <wp:inline distT="0" distB="0" distL="0" distR="0">
            <wp:extent cx="1400810" cy="2366010"/>
            <wp:effectExtent l="19050" t="0" r="889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3B" w:rsidRPr="00867C1A" w:rsidRDefault="00867C1A" w:rsidP="00867C1A">
      <w:pPr>
        <w:pStyle w:val="2"/>
        <w:rPr>
          <w:sz w:val="24"/>
        </w:rPr>
      </w:pPr>
      <w:r w:rsidRPr="00867C1A">
        <w:rPr>
          <w:rFonts w:hint="eastAsia"/>
          <w:sz w:val="24"/>
        </w:rPr>
        <w:t>2.</w:t>
      </w:r>
      <w:r w:rsidR="0017013B" w:rsidRPr="00867C1A">
        <w:rPr>
          <w:rFonts w:hint="eastAsia"/>
          <w:sz w:val="24"/>
        </w:rPr>
        <w:t>增加特种设备分类管理界面。</w:t>
      </w:r>
    </w:p>
    <w:p w:rsidR="0017013B" w:rsidRDefault="0017013B" w:rsidP="0017013B">
      <w:r>
        <w:rPr>
          <w:rFonts w:hint="eastAsia"/>
        </w:rPr>
        <w:t xml:space="preserve">2.1 </w:t>
      </w:r>
      <w:r>
        <w:rPr>
          <w:rFonts w:hint="eastAsia"/>
        </w:rPr>
        <w:t>第一层“特种设备类别”固定不可更改。</w:t>
      </w:r>
    </w:p>
    <w:p w:rsidR="0017013B" w:rsidRDefault="0017013B" w:rsidP="0017013B">
      <w:r>
        <w:rPr>
          <w:noProof/>
        </w:rPr>
        <w:drawing>
          <wp:inline distT="0" distB="0" distL="0" distR="0">
            <wp:extent cx="5274310" cy="30592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3B" w:rsidRDefault="0017013B" w:rsidP="0017013B">
      <w:r>
        <w:rPr>
          <w:rFonts w:hint="eastAsia"/>
        </w:rPr>
        <w:t xml:space="preserve">2.2 </w:t>
      </w:r>
      <w:r>
        <w:rPr>
          <w:rFonts w:hint="eastAsia"/>
        </w:rPr>
        <w:t>第二层“种类”包含</w:t>
      </w:r>
      <w:r>
        <w:t>”</w:t>
      </w:r>
      <w:r>
        <w:rPr>
          <w:rFonts w:hint="eastAsia"/>
        </w:rPr>
        <w:t>种类名称、种类代码、备注</w:t>
      </w:r>
      <w:r>
        <w:t>”</w:t>
      </w:r>
      <w:r>
        <w:rPr>
          <w:rFonts w:hint="eastAsia"/>
        </w:rPr>
        <w:t>字段。</w:t>
      </w:r>
    </w:p>
    <w:p w:rsidR="0017013B" w:rsidRDefault="0017013B" w:rsidP="0017013B">
      <w:r>
        <w:rPr>
          <w:noProof/>
        </w:rPr>
        <w:lastRenderedPageBreak/>
        <w:drawing>
          <wp:inline distT="0" distB="0" distL="0" distR="0">
            <wp:extent cx="5274310" cy="19260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9C" w:rsidRPr="0009219C" w:rsidRDefault="0009219C" w:rsidP="0017013B">
      <w:r>
        <w:rPr>
          <w:rFonts w:hint="eastAsia"/>
        </w:rPr>
        <w:t xml:space="preserve">2.3 </w:t>
      </w:r>
      <w:r>
        <w:rPr>
          <w:rFonts w:hint="eastAsia"/>
        </w:rPr>
        <w:t>第三层“类别”包含</w:t>
      </w:r>
      <w:r>
        <w:t>”</w:t>
      </w:r>
      <w:r>
        <w:rPr>
          <w:rFonts w:hint="eastAsia"/>
        </w:rPr>
        <w:t>类别名称、所属种类</w:t>
      </w:r>
      <w:r w:rsidR="00DE3609">
        <w:rPr>
          <w:rFonts w:hint="eastAsia"/>
        </w:rPr>
        <w:t>（自动显示上一层名称且不可修改）</w:t>
      </w:r>
      <w:r>
        <w:rPr>
          <w:rFonts w:hint="eastAsia"/>
        </w:rPr>
        <w:t>、类别代码、备注</w:t>
      </w:r>
      <w:r>
        <w:t>”</w:t>
      </w:r>
      <w:r>
        <w:rPr>
          <w:rFonts w:hint="eastAsia"/>
        </w:rPr>
        <w:t>字段。</w:t>
      </w:r>
    </w:p>
    <w:p w:rsidR="0017013B" w:rsidRDefault="0017013B" w:rsidP="0017013B">
      <w:r>
        <w:rPr>
          <w:noProof/>
        </w:rPr>
        <w:drawing>
          <wp:inline distT="0" distB="0" distL="0" distR="0">
            <wp:extent cx="5274310" cy="21596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AB" w:rsidRDefault="005A28AB" w:rsidP="0017013B">
      <w:r>
        <w:rPr>
          <w:rFonts w:hint="eastAsia"/>
        </w:rPr>
        <w:t xml:space="preserve">2.4 </w:t>
      </w:r>
      <w:r>
        <w:rPr>
          <w:rFonts w:hint="eastAsia"/>
        </w:rPr>
        <w:t>第</w:t>
      </w:r>
      <w:r w:rsidR="00DE3609">
        <w:rPr>
          <w:rFonts w:hint="eastAsia"/>
        </w:rPr>
        <w:t>四</w:t>
      </w:r>
      <w:r>
        <w:rPr>
          <w:rFonts w:hint="eastAsia"/>
        </w:rPr>
        <w:t>层“</w:t>
      </w:r>
      <w:r w:rsidR="00DE3609">
        <w:rPr>
          <w:rFonts w:hint="eastAsia"/>
        </w:rPr>
        <w:t>品种</w:t>
      </w:r>
      <w:r>
        <w:rPr>
          <w:rFonts w:hint="eastAsia"/>
        </w:rPr>
        <w:t>”包含</w:t>
      </w:r>
      <w:r>
        <w:t>”</w:t>
      </w:r>
      <w:r w:rsidR="00DE3609">
        <w:rPr>
          <w:rFonts w:hint="eastAsia"/>
        </w:rPr>
        <w:t>品种名称、所属类别（自动显示上一层名称且不可修改）</w:t>
      </w:r>
      <w:r>
        <w:rPr>
          <w:rFonts w:hint="eastAsia"/>
        </w:rPr>
        <w:t>、</w:t>
      </w:r>
      <w:r w:rsidR="00DE3609">
        <w:rPr>
          <w:rFonts w:hint="eastAsia"/>
        </w:rPr>
        <w:t>品种代码、定期检验周期</w:t>
      </w:r>
      <w:r>
        <w:t>”</w:t>
      </w:r>
      <w:r>
        <w:rPr>
          <w:rFonts w:hint="eastAsia"/>
        </w:rPr>
        <w:t>字段。</w:t>
      </w:r>
    </w:p>
    <w:p w:rsidR="0017013B" w:rsidRDefault="0017013B" w:rsidP="0017013B">
      <w:r>
        <w:rPr>
          <w:noProof/>
        </w:rPr>
        <w:drawing>
          <wp:inline distT="0" distB="0" distL="0" distR="0">
            <wp:extent cx="5274310" cy="30813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C0" w:rsidRPr="00867C1A" w:rsidRDefault="00867C1A" w:rsidP="00867C1A">
      <w:pPr>
        <w:pStyle w:val="2"/>
        <w:rPr>
          <w:sz w:val="24"/>
        </w:rPr>
      </w:pPr>
      <w:r w:rsidRPr="00867C1A">
        <w:rPr>
          <w:rFonts w:hint="eastAsia"/>
          <w:sz w:val="24"/>
        </w:rPr>
        <w:lastRenderedPageBreak/>
        <w:t>3.</w:t>
      </w:r>
      <w:r w:rsidR="001674C0" w:rsidRPr="00867C1A">
        <w:rPr>
          <w:rFonts w:hint="eastAsia"/>
          <w:sz w:val="24"/>
        </w:rPr>
        <w:t>增加特种设备生产厂家管理界面。</w:t>
      </w:r>
    </w:p>
    <w:p w:rsidR="001674C0" w:rsidRDefault="0087527F" w:rsidP="0017013B">
      <w:r>
        <w:rPr>
          <w:rFonts w:hint="eastAsia"/>
        </w:rPr>
        <w:t>扩展属性定义（无需开发）</w:t>
      </w:r>
    </w:p>
    <w:p w:rsidR="0087527F" w:rsidRPr="00867C1A" w:rsidRDefault="00867C1A" w:rsidP="00867C1A">
      <w:pPr>
        <w:pStyle w:val="2"/>
        <w:rPr>
          <w:sz w:val="24"/>
        </w:rPr>
      </w:pPr>
      <w:r w:rsidRPr="00867C1A">
        <w:rPr>
          <w:rFonts w:hint="eastAsia"/>
          <w:sz w:val="24"/>
        </w:rPr>
        <w:t>4.</w:t>
      </w:r>
      <w:r w:rsidR="0087527F" w:rsidRPr="00867C1A">
        <w:rPr>
          <w:rFonts w:hint="eastAsia"/>
          <w:sz w:val="24"/>
        </w:rPr>
        <w:t>增加特种设备台帐管理</w:t>
      </w:r>
    </w:p>
    <w:p w:rsidR="0087527F" w:rsidRDefault="0087527F" w:rsidP="0017013B">
      <w:r>
        <w:rPr>
          <w:rFonts w:hint="eastAsia"/>
        </w:rPr>
        <w:t>使用原有设备台帐（无需开发）</w:t>
      </w:r>
    </w:p>
    <w:p w:rsidR="00DC13C1" w:rsidRPr="00867C1A" w:rsidRDefault="00867C1A" w:rsidP="00867C1A">
      <w:pPr>
        <w:pStyle w:val="2"/>
        <w:rPr>
          <w:sz w:val="24"/>
        </w:rPr>
      </w:pPr>
      <w:r w:rsidRPr="00867C1A">
        <w:rPr>
          <w:rFonts w:hint="eastAsia"/>
          <w:sz w:val="24"/>
        </w:rPr>
        <w:t>5.</w:t>
      </w:r>
      <w:r w:rsidR="00DC13C1" w:rsidRPr="00867C1A">
        <w:rPr>
          <w:rFonts w:hint="eastAsia"/>
          <w:sz w:val="24"/>
        </w:rPr>
        <w:t>增加特种设备档案管理</w:t>
      </w:r>
    </w:p>
    <w:p w:rsidR="00DC13C1" w:rsidRDefault="00DC13C1" w:rsidP="00DC13C1">
      <w:r>
        <w:rPr>
          <w:rFonts w:hint="eastAsia"/>
        </w:rPr>
        <w:t>使用原有设备档案（无需开发）</w:t>
      </w:r>
    </w:p>
    <w:p w:rsidR="00DC13C1" w:rsidRPr="00867C1A" w:rsidRDefault="00867C1A" w:rsidP="00867C1A">
      <w:pPr>
        <w:pStyle w:val="2"/>
        <w:rPr>
          <w:sz w:val="24"/>
          <w:szCs w:val="24"/>
        </w:rPr>
      </w:pPr>
      <w:r w:rsidRPr="00867C1A">
        <w:rPr>
          <w:rFonts w:hint="eastAsia"/>
          <w:sz w:val="24"/>
          <w:szCs w:val="24"/>
        </w:rPr>
        <w:t>6.</w:t>
      </w:r>
      <w:r w:rsidR="00DC13C1" w:rsidRPr="00867C1A">
        <w:rPr>
          <w:rFonts w:hint="eastAsia"/>
          <w:sz w:val="24"/>
          <w:szCs w:val="24"/>
        </w:rPr>
        <w:t>增加特种设备定期维修计划管理</w:t>
      </w:r>
    </w:p>
    <w:p w:rsidR="00DC13C1" w:rsidRDefault="00DC13C1" w:rsidP="00DC13C1">
      <w:r>
        <w:rPr>
          <w:rFonts w:hint="eastAsia"/>
        </w:rPr>
        <w:t>根据特种设备品种树中指定的定期</w:t>
      </w:r>
      <w:r w:rsidR="001B167B">
        <w:rPr>
          <w:rFonts w:hint="eastAsia"/>
        </w:rPr>
        <w:t>检验</w:t>
      </w:r>
      <w:r>
        <w:rPr>
          <w:rFonts w:hint="eastAsia"/>
        </w:rPr>
        <w:t>时间自动显示需要</w:t>
      </w:r>
      <w:r w:rsidR="001B167B">
        <w:rPr>
          <w:rFonts w:hint="eastAsia"/>
        </w:rPr>
        <w:t>检验的</w:t>
      </w:r>
      <w:r>
        <w:rPr>
          <w:rFonts w:hint="eastAsia"/>
        </w:rPr>
        <w:t>设备。</w:t>
      </w:r>
      <w:r w:rsidR="001B167B">
        <w:rPr>
          <w:rFonts w:hint="eastAsia"/>
        </w:rPr>
        <w:t>检验结果分为“合格”“不合格”状态，若“合格”则进入下一个检验周期，若“不合格”则进入“零修”流程。</w:t>
      </w:r>
    </w:p>
    <w:p w:rsidR="00192BA1" w:rsidRPr="00A76601" w:rsidRDefault="00192BA1" w:rsidP="00DC13C1">
      <w:r>
        <w:rPr>
          <w:rFonts w:hint="eastAsia"/>
        </w:rPr>
        <w:t>6.1</w:t>
      </w:r>
      <w:r>
        <w:rPr>
          <w:rFonts w:hint="eastAsia"/>
        </w:rPr>
        <w:t>在特种设备品种中设置定检时间。</w:t>
      </w:r>
      <w:r w:rsidR="00A76601">
        <w:rPr>
          <w:rFonts w:hint="eastAsia"/>
        </w:rPr>
        <w:t>在属性框中新增“定检提醒”，可自定义</w:t>
      </w:r>
      <w:r w:rsidR="00791BC4">
        <w:rPr>
          <w:rFonts w:hint="eastAsia"/>
        </w:rPr>
        <w:t>离检修时间若干天自动提示检修项目。</w:t>
      </w:r>
    </w:p>
    <w:p w:rsidR="00DC13C1" w:rsidRDefault="00DC13C1" w:rsidP="00DC13C1">
      <w:pPr>
        <w:rPr>
          <w:sz w:val="28"/>
        </w:rPr>
      </w:pPr>
      <w:r w:rsidRPr="00DC13C1">
        <w:rPr>
          <w:noProof/>
          <w:sz w:val="28"/>
        </w:rPr>
        <w:drawing>
          <wp:inline distT="0" distB="0" distL="0" distR="0">
            <wp:extent cx="5274310" cy="3081305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C4" w:rsidRDefault="00791BC4" w:rsidP="00791BC4">
      <w:pPr>
        <w:ind w:firstLineChars="1100" w:firstLine="3080"/>
        <w:rPr>
          <w:sz w:val="28"/>
        </w:rPr>
      </w:pPr>
      <w:r w:rsidRPr="00791BC4">
        <w:rPr>
          <w:rFonts w:hint="eastAsia"/>
          <w:noProof/>
          <w:sz w:val="28"/>
        </w:rPr>
        <w:drawing>
          <wp:inline distT="0" distB="0" distL="0" distR="0">
            <wp:extent cx="1610995" cy="209550"/>
            <wp:effectExtent l="19050" t="0" r="8255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A1" w:rsidRPr="00192BA1" w:rsidRDefault="00192BA1" w:rsidP="00DC13C1">
      <w:pPr>
        <w:rPr>
          <w:sz w:val="22"/>
        </w:rPr>
      </w:pPr>
      <w:r w:rsidRPr="00192BA1">
        <w:rPr>
          <w:rFonts w:hint="eastAsia"/>
          <w:sz w:val="22"/>
        </w:rPr>
        <w:t>6.2</w:t>
      </w:r>
      <w:r w:rsidR="001F02F4">
        <w:rPr>
          <w:rFonts w:hint="eastAsia"/>
          <w:sz w:val="22"/>
        </w:rPr>
        <w:t>周检列表中</w:t>
      </w:r>
      <w:r>
        <w:rPr>
          <w:rFonts w:hint="eastAsia"/>
          <w:sz w:val="22"/>
        </w:rPr>
        <w:t>分厂管理员</w:t>
      </w:r>
      <w:r w:rsidRPr="00192BA1">
        <w:rPr>
          <w:rFonts w:hint="eastAsia"/>
          <w:sz w:val="22"/>
        </w:rPr>
        <w:t>选中需要检修的设备后点击“</w:t>
      </w:r>
      <w:r w:rsidR="000B7929">
        <w:rPr>
          <w:rFonts w:hint="eastAsia"/>
          <w:sz w:val="22"/>
        </w:rPr>
        <w:t>检验</w:t>
      </w:r>
      <w:r w:rsidRPr="00192BA1">
        <w:rPr>
          <w:rFonts w:hint="eastAsia"/>
          <w:sz w:val="22"/>
        </w:rPr>
        <w:t>”</w:t>
      </w:r>
      <w:r>
        <w:rPr>
          <w:rFonts w:hint="eastAsia"/>
          <w:sz w:val="22"/>
        </w:rPr>
        <w:t>按钮</w:t>
      </w:r>
      <w:r w:rsidR="0027039D">
        <w:rPr>
          <w:rFonts w:hint="eastAsia"/>
          <w:sz w:val="22"/>
        </w:rPr>
        <w:t>委派线下检验</w:t>
      </w:r>
      <w:r>
        <w:rPr>
          <w:rFonts w:hint="eastAsia"/>
          <w:sz w:val="22"/>
        </w:rPr>
        <w:t>，该记录状态变为“</w:t>
      </w:r>
      <w:r w:rsidR="000B7929">
        <w:rPr>
          <w:rFonts w:hint="eastAsia"/>
          <w:sz w:val="22"/>
        </w:rPr>
        <w:t>检验</w:t>
      </w:r>
      <w:r>
        <w:rPr>
          <w:rFonts w:hint="eastAsia"/>
          <w:sz w:val="22"/>
        </w:rPr>
        <w:t>中”。线下</w:t>
      </w:r>
      <w:r w:rsidR="000B7929">
        <w:rPr>
          <w:rFonts w:hint="eastAsia"/>
          <w:sz w:val="22"/>
        </w:rPr>
        <w:t>检验</w:t>
      </w:r>
      <w:r>
        <w:rPr>
          <w:rFonts w:hint="eastAsia"/>
          <w:sz w:val="22"/>
        </w:rPr>
        <w:t>完成后由分厂管理员点击“</w:t>
      </w:r>
      <w:r w:rsidR="000B7929">
        <w:rPr>
          <w:rFonts w:hint="eastAsia"/>
          <w:sz w:val="22"/>
        </w:rPr>
        <w:t>检验结果</w:t>
      </w:r>
      <w:r>
        <w:rPr>
          <w:rFonts w:hint="eastAsia"/>
          <w:sz w:val="22"/>
        </w:rPr>
        <w:t>”按钮</w:t>
      </w:r>
      <w:r w:rsidR="000B7929">
        <w:rPr>
          <w:rFonts w:hint="eastAsia"/>
          <w:sz w:val="22"/>
        </w:rPr>
        <w:t>输入检验结果</w:t>
      </w:r>
      <w:r w:rsidR="0027039D">
        <w:rPr>
          <w:rFonts w:hint="eastAsia"/>
          <w:sz w:val="22"/>
        </w:rPr>
        <w:t>。</w:t>
      </w:r>
      <w:r w:rsidR="0027039D">
        <w:rPr>
          <w:rFonts w:hint="eastAsia"/>
        </w:rPr>
        <w:t>若“合格”则进入下一个检验周期，若“不合格”则进入“零修”流程。</w:t>
      </w:r>
    </w:p>
    <w:tbl>
      <w:tblPr>
        <w:tblStyle w:val="a7"/>
        <w:tblW w:w="0" w:type="auto"/>
        <w:tblLook w:val="04A0"/>
      </w:tblPr>
      <w:tblGrid>
        <w:gridCol w:w="426"/>
        <w:gridCol w:w="426"/>
        <w:gridCol w:w="1270"/>
        <w:gridCol w:w="1129"/>
        <w:gridCol w:w="1129"/>
        <w:gridCol w:w="1129"/>
        <w:gridCol w:w="891"/>
        <w:gridCol w:w="1061"/>
        <w:gridCol w:w="1061"/>
      </w:tblGrid>
      <w:tr w:rsidR="0027039D" w:rsidTr="009967AC">
        <w:tc>
          <w:tcPr>
            <w:tcW w:w="852" w:type="dxa"/>
            <w:gridSpan w:val="2"/>
          </w:tcPr>
          <w:p w:rsidR="0027039D" w:rsidRPr="0027039D" w:rsidRDefault="0027039D" w:rsidP="00DC13C1">
            <w:r w:rsidRPr="0027039D">
              <w:rPr>
                <w:rFonts w:hint="eastAsia"/>
              </w:rPr>
              <w:t>“检验”按钮</w:t>
            </w:r>
          </w:p>
        </w:tc>
        <w:tc>
          <w:tcPr>
            <w:tcW w:w="1270" w:type="dxa"/>
          </w:tcPr>
          <w:p w:rsidR="0027039D" w:rsidRPr="0027039D" w:rsidRDefault="0027039D" w:rsidP="00DC13C1">
            <w:r>
              <w:rPr>
                <w:rFonts w:hint="eastAsia"/>
              </w:rPr>
              <w:t>“</w:t>
            </w:r>
            <w:r w:rsidRPr="0027039D">
              <w:rPr>
                <w:rFonts w:hint="eastAsia"/>
              </w:rPr>
              <w:t>检验结果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6400" w:type="dxa"/>
            <w:gridSpan w:val="6"/>
          </w:tcPr>
          <w:p w:rsidR="0027039D" w:rsidRDefault="0027039D" w:rsidP="00DC13C1">
            <w:pPr>
              <w:rPr>
                <w:sz w:val="28"/>
              </w:rPr>
            </w:pPr>
          </w:p>
        </w:tc>
      </w:tr>
      <w:tr w:rsidR="009967AC" w:rsidTr="009967AC">
        <w:tc>
          <w:tcPr>
            <w:tcW w:w="426" w:type="dxa"/>
          </w:tcPr>
          <w:p w:rsidR="009967AC" w:rsidRPr="0027039D" w:rsidRDefault="009967AC" w:rsidP="00DC13C1">
            <w:r w:rsidRPr="0027039D">
              <w:rPr>
                <w:rFonts w:hint="eastAsia"/>
              </w:rPr>
              <w:lastRenderedPageBreak/>
              <w:t>序号</w:t>
            </w:r>
          </w:p>
        </w:tc>
        <w:tc>
          <w:tcPr>
            <w:tcW w:w="426" w:type="dxa"/>
          </w:tcPr>
          <w:p w:rsidR="009967AC" w:rsidRPr="0027039D" w:rsidRDefault="009967AC" w:rsidP="00DC13C1">
            <w:r>
              <w:rPr>
                <w:rFonts w:hint="eastAsia"/>
              </w:rPr>
              <w:t>状态</w:t>
            </w:r>
          </w:p>
        </w:tc>
        <w:tc>
          <w:tcPr>
            <w:tcW w:w="1270" w:type="dxa"/>
          </w:tcPr>
          <w:p w:rsidR="009967AC" w:rsidRPr="0027039D" w:rsidRDefault="009967AC" w:rsidP="00DC13C1">
            <w:r>
              <w:rPr>
                <w:rFonts w:hint="eastAsia"/>
              </w:rPr>
              <w:t>检验结果</w:t>
            </w:r>
          </w:p>
        </w:tc>
        <w:tc>
          <w:tcPr>
            <w:tcW w:w="1129" w:type="dxa"/>
          </w:tcPr>
          <w:p w:rsidR="009967AC" w:rsidRPr="0027039D" w:rsidRDefault="009967AC" w:rsidP="00C16161">
            <w:r>
              <w:rPr>
                <w:rFonts w:hint="eastAsia"/>
              </w:rPr>
              <w:t>设备名称</w:t>
            </w:r>
          </w:p>
        </w:tc>
        <w:tc>
          <w:tcPr>
            <w:tcW w:w="1129" w:type="dxa"/>
          </w:tcPr>
          <w:p w:rsidR="009967AC" w:rsidRPr="0027039D" w:rsidRDefault="009967AC" w:rsidP="00C16161">
            <w:r>
              <w:rPr>
                <w:rFonts w:hint="eastAsia"/>
              </w:rPr>
              <w:t>设备种类</w:t>
            </w:r>
          </w:p>
        </w:tc>
        <w:tc>
          <w:tcPr>
            <w:tcW w:w="1129" w:type="dxa"/>
          </w:tcPr>
          <w:p w:rsidR="009967AC" w:rsidRPr="0027039D" w:rsidRDefault="009967AC" w:rsidP="00C16161">
            <w:r>
              <w:rPr>
                <w:rFonts w:hint="eastAsia"/>
              </w:rPr>
              <w:t>设备型号</w:t>
            </w:r>
          </w:p>
        </w:tc>
        <w:tc>
          <w:tcPr>
            <w:tcW w:w="891" w:type="dxa"/>
          </w:tcPr>
          <w:p w:rsidR="009967AC" w:rsidRPr="0027039D" w:rsidRDefault="009967AC" w:rsidP="00DC13C1">
            <w:r>
              <w:rPr>
                <w:rFonts w:hint="eastAsia"/>
              </w:rPr>
              <w:t>检验日期</w:t>
            </w:r>
          </w:p>
        </w:tc>
        <w:tc>
          <w:tcPr>
            <w:tcW w:w="1061" w:type="dxa"/>
          </w:tcPr>
          <w:p w:rsidR="009967AC" w:rsidRPr="0027039D" w:rsidRDefault="009967AC" w:rsidP="00DC13C1">
            <w:r>
              <w:rPr>
                <w:rFonts w:hint="eastAsia"/>
              </w:rPr>
              <w:t>下次检验日期</w:t>
            </w:r>
          </w:p>
        </w:tc>
        <w:tc>
          <w:tcPr>
            <w:tcW w:w="1061" w:type="dxa"/>
          </w:tcPr>
          <w:p w:rsidR="009967AC" w:rsidRPr="0027039D" w:rsidRDefault="009967AC" w:rsidP="00DC13C1">
            <w:r>
              <w:rPr>
                <w:rFonts w:hint="eastAsia"/>
              </w:rPr>
              <w:t>备注</w:t>
            </w:r>
          </w:p>
        </w:tc>
      </w:tr>
      <w:tr w:rsidR="009967AC" w:rsidTr="009967AC">
        <w:tc>
          <w:tcPr>
            <w:tcW w:w="426" w:type="dxa"/>
          </w:tcPr>
          <w:p w:rsidR="009967AC" w:rsidRPr="0027039D" w:rsidRDefault="009967AC" w:rsidP="00DC13C1"/>
        </w:tc>
        <w:tc>
          <w:tcPr>
            <w:tcW w:w="426" w:type="dxa"/>
          </w:tcPr>
          <w:p w:rsidR="009967AC" w:rsidRPr="0027039D" w:rsidRDefault="009967AC" w:rsidP="00DC13C1"/>
        </w:tc>
        <w:tc>
          <w:tcPr>
            <w:tcW w:w="1270" w:type="dxa"/>
          </w:tcPr>
          <w:p w:rsidR="009967AC" w:rsidRPr="0027039D" w:rsidRDefault="009967AC" w:rsidP="00DC13C1"/>
        </w:tc>
        <w:tc>
          <w:tcPr>
            <w:tcW w:w="1129" w:type="dxa"/>
          </w:tcPr>
          <w:p w:rsidR="009967AC" w:rsidRPr="0027039D" w:rsidRDefault="009967AC" w:rsidP="00DC13C1"/>
        </w:tc>
        <w:tc>
          <w:tcPr>
            <w:tcW w:w="1129" w:type="dxa"/>
          </w:tcPr>
          <w:p w:rsidR="009967AC" w:rsidRPr="0027039D" w:rsidRDefault="009967AC" w:rsidP="00DC13C1"/>
        </w:tc>
        <w:tc>
          <w:tcPr>
            <w:tcW w:w="1129" w:type="dxa"/>
          </w:tcPr>
          <w:p w:rsidR="009967AC" w:rsidRPr="0027039D" w:rsidRDefault="009967AC" w:rsidP="00DC13C1"/>
        </w:tc>
        <w:tc>
          <w:tcPr>
            <w:tcW w:w="891" w:type="dxa"/>
          </w:tcPr>
          <w:p w:rsidR="009967AC" w:rsidRPr="0027039D" w:rsidRDefault="009967AC" w:rsidP="00DC13C1"/>
        </w:tc>
        <w:tc>
          <w:tcPr>
            <w:tcW w:w="1061" w:type="dxa"/>
          </w:tcPr>
          <w:p w:rsidR="009967AC" w:rsidRPr="0027039D" w:rsidRDefault="009967AC" w:rsidP="00DC13C1"/>
        </w:tc>
        <w:tc>
          <w:tcPr>
            <w:tcW w:w="1061" w:type="dxa"/>
          </w:tcPr>
          <w:p w:rsidR="009967AC" w:rsidRPr="0027039D" w:rsidRDefault="009967AC" w:rsidP="00DC13C1"/>
        </w:tc>
      </w:tr>
      <w:tr w:rsidR="009967AC" w:rsidTr="00DD74BB">
        <w:tc>
          <w:tcPr>
            <w:tcW w:w="426" w:type="dxa"/>
          </w:tcPr>
          <w:p w:rsidR="009967AC" w:rsidRPr="0027039D" w:rsidRDefault="009967AC" w:rsidP="00DC13C1"/>
        </w:tc>
        <w:tc>
          <w:tcPr>
            <w:tcW w:w="426" w:type="dxa"/>
          </w:tcPr>
          <w:p w:rsidR="009967AC" w:rsidRPr="0027039D" w:rsidRDefault="009967AC" w:rsidP="00DC13C1"/>
        </w:tc>
        <w:tc>
          <w:tcPr>
            <w:tcW w:w="1270" w:type="dxa"/>
          </w:tcPr>
          <w:p w:rsidR="009967AC" w:rsidRPr="0027039D" w:rsidRDefault="009967AC" w:rsidP="00DC13C1"/>
        </w:tc>
        <w:tc>
          <w:tcPr>
            <w:tcW w:w="1129" w:type="dxa"/>
          </w:tcPr>
          <w:p w:rsidR="009967AC" w:rsidRPr="0027039D" w:rsidRDefault="009967AC" w:rsidP="00DC13C1"/>
        </w:tc>
        <w:tc>
          <w:tcPr>
            <w:tcW w:w="1129" w:type="dxa"/>
          </w:tcPr>
          <w:p w:rsidR="009967AC" w:rsidRPr="0027039D" w:rsidRDefault="009967AC" w:rsidP="00DC13C1"/>
        </w:tc>
        <w:tc>
          <w:tcPr>
            <w:tcW w:w="1129" w:type="dxa"/>
          </w:tcPr>
          <w:p w:rsidR="009967AC" w:rsidRPr="0027039D" w:rsidRDefault="009967AC" w:rsidP="00DC13C1"/>
        </w:tc>
        <w:tc>
          <w:tcPr>
            <w:tcW w:w="891" w:type="dxa"/>
          </w:tcPr>
          <w:p w:rsidR="009967AC" w:rsidRPr="0027039D" w:rsidRDefault="009967AC" w:rsidP="00DC13C1"/>
        </w:tc>
        <w:tc>
          <w:tcPr>
            <w:tcW w:w="1061" w:type="dxa"/>
          </w:tcPr>
          <w:p w:rsidR="009967AC" w:rsidRPr="0027039D" w:rsidRDefault="009967AC" w:rsidP="00DC13C1"/>
        </w:tc>
        <w:tc>
          <w:tcPr>
            <w:tcW w:w="1061" w:type="dxa"/>
          </w:tcPr>
          <w:p w:rsidR="009967AC" w:rsidRPr="0027039D" w:rsidRDefault="009967AC" w:rsidP="00DC13C1"/>
        </w:tc>
      </w:tr>
    </w:tbl>
    <w:p w:rsidR="00A76601" w:rsidRPr="00867C1A" w:rsidRDefault="00867C1A" w:rsidP="00867C1A">
      <w:pPr>
        <w:pStyle w:val="2"/>
        <w:rPr>
          <w:sz w:val="24"/>
        </w:rPr>
      </w:pPr>
      <w:r w:rsidRPr="00867C1A">
        <w:rPr>
          <w:rFonts w:hint="eastAsia"/>
          <w:sz w:val="24"/>
        </w:rPr>
        <w:t>7.</w:t>
      </w:r>
      <w:r w:rsidR="00FA01AD">
        <w:rPr>
          <w:rFonts w:hint="eastAsia"/>
          <w:sz w:val="24"/>
        </w:rPr>
        <w:t>特种设备大修</w:t>
      </w:r>
      <w:r w:rsidRPr="00867C1A">
        <w:rPr>
          <w:rFonts w:hint="eastAsia"/>
          <w:sz w:val="24"/>
        </w:rPr>
        <w:t>施工过程管理</w:t>
      </w:r>
    </w:p>
    <w:p w:rsidR="00192BA1" w:rsidRDefault="00A76601" w:rsidP="00DC13C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该功能</w:t>
      </w:r>
      <w:r w:rsidR="00C006C3">
        <w:rPr>
          <w:rFonts w:ascii="宋体" w:hAnsi="宋体" w:cs="宋体" w:hint="eastAsia"/>
        </w:rPr>
        <w:t>参考石钢零修流程，大修比零修新增市区光管部门备案及市相关部门验收流程。</w:t>
      </w:r>
      <w:r w:rsidR="002747AB">
        <w:rPr>
          <w:rFonts w:ascii="宋体" w:hAnsi="宋体" w:cs="宋体" w:hint="eastAsia"/>
        </w:rPr>
        <w:t>功能包括：添加大修计划、计划审批、相关部门备案登记、委外合同登记、施工人员资质登记、资质审核、维修实施内容登记、分厂验收登记、监管部门验收登记</w:t>
      </w:r>
    </w:p>
    <w:p w:rsidR="00A76601" w:rsidRDefault="002747AB" w:rsidP="00DC13C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496839" cy="6090407"/>
            <wp:effectExtent l="0" t="0" r="0" b="0"/>
            <wp:docPr id="7" name="图片 7" descr="C:\Users\DELL\Desktop\未命名文件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未命名文件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39" cy="609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1A" w:rsidRPr="00867C1A" w:rsidRDefault="00867C1A" w:rsidP="00867C1A">
      <w:pPr>
        <w:pStyle w:val="2"/>
        <w:rPr>
          <w:sz w:val="24"/>
        </w:rPr>
      </w:pPr>
      <w:bookmarkStart w:id="0" w:name="_Toc492277848"/>
      <w:r w:rsidRPr="00867C1A">
        <w:rPr>
          <w:rFonts w:hint="eastAsia"/>
          <w:sz w:val="24"/>
        </w:rPr>
        <w:lastRenderedPageBreak/>
        <w:t>8.</w:t>
      </w:r>
      <w:r w:rsidRPr="00867C1A">
        <w:rPr>
          <w:rFonts w:hint="eastAsia"/>
          <w:sz w:val="24"/>
        </w:rPr>
        <w:t>设备报废管理</w:t>
      </w:r>
      <w:bookmarkEnd w:id="0"/>
    </w:p>
    <w:p w:rsidR="00867C1A" w:rsidRPr="00870DB6" w:rsidRDefault="00867C1A" w:rsidP="00867C1A">
      <w:pPr>
        <w:snapToGrid w:val="0"/>
        <w:spacing w:after="120"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对报废的特种设备进行审核、登记，方便历史记录查询。先由相关人员录入报废单，再又审核部门审核完成后该设备状态变为报废状态。</w:t>
      </w:r>
    </w:p>
    <w:p w:rsidR="00867C1A" w:rsidRDefault="00867C1A" w:rsidP="00867C1A">
      <w:pPr>
        <w:pStyle w:val="a8"/>
        <w:snapToGrid w:val="0"/>
        <w:spacing w:after="120" w:line="360" w:lineRule="auto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5268595" cy="1501775"/>
            <wp:effectExtent l="19050" t="0" r="8255" b="0"/>
            <wp:docPr id="3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1A" w:rsidRDefault="00867C1A" w:rsidP="00867C1A">
      <w:pPr>
        <w:pStyle w:val="a8"/>
        <w:snapToGrid w:val="0"/>
        <w:spacing w:after="120" w:line="360" w:lineRule="auto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4530090" cy="2508250"/>
            <wp:effectExtent l="19050" t="0" r="3810" b="0"/>
            <wp:docPr id="3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1A" w:rsidRPr="00867C1A" w:rsidRDefault="00867C1A" w:rsidP="00867C1A">
      <w:pPr>
        <w:pStyle w:val="2"/>
        <w:rPr>
          <w:sz w:val="24"/>
        </w:rPr>
      </w:pPr>
      <w:bookmarkStart w:id="1" w:name="_Toc492277849"/>
      <w:r w:rsidRPr="00867C1A">
        <w:rPr>
          <w:rFonts w:hint="eastAsia"/>
          <w:sz w:val="24"/>
        </w:rPr>
        <w:t>9.</w:t>
      </w:r>
      <w:r w:rsidRPr="00867C1A">
        <w:rPr>
          <w:rFonts w:hint="eastAsia"/>
          <w:sz w:val="24"/>
        </w:rPr>
        <w:t>设备停用管理</w:t>
      </w:r>
      <w:bookmarkEnd w:id="1"/>
    </w:p>
    <w:p w:rsidR="00867C1A" w:rsidRPr="004604A0" w:rsidRDefault="00867C1A" w:rsidP="00867C1A">
      <w:pPr>
        <w:snapToGrid w:val="0"/>
        <w:spacing w:after="120" w:line="360" w:lineRule="auto"/>
        <w:ind w:leftChars="171" w:left="359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管理、记录设备停机、启动的状态变化。</w:t>
      </w:r>
      <w:r>
        <w:rPr>
          <w:rFonts w:hint="eastAsia"/>
        </w:rPr>
        <w:t>启停机管理提供启动、停机记录的添加、编辑、删除、查询功能。停机记录包括设备名称、设备路径、停机原因，停机开始结束时间等内容。设备停机后，可以重新启动。</w:t>
      </w:r>
    </w:p>
    <w:p w:rsidR="00867C1A" w:rsidRPr="00CB2BBA" w:rsidRDefault="00867C1A" w:rsidP="00867C1A">
      <w:pPr>
        <w:pStyle w:val="a8"/>
        <w:snapToGrid w:val="0"/>
        <w:spacing w:after="120" w:line="360" w:lineRule="auto"/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5276850" cy="1434465"/>
            <wp:effectExtent l="19050" t="0" r="0" b="0"/>
            <wp:docPr id="3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1A" w:rsidRPr="00867C1A" w:rsidRDefault="00867C1A" w:rsidP="00867C1A">
      <w:pPr>
        <w:pStyle w:val="2"/>
        <w:rPr>
          <w:sz w:val="24"/>
        </w:rPr>
      </w:pPr>
      <w:bookmarkStart w:id="2" w:name="_Toc492277850"/>
      <w:r w:rsidRPr="00867C1A">
        <w:rPr>
          <w:rFonts w:hint="eastAsia"/>
          <w:sz w:val="24"/>
        </w:rPr>
        <w:lastRenderedPageBreak/>
        <w:t>10.</w:t>
      </w:r>
      <w:r w:rsidRPr="00867C1A">
        <w:rPr>
          <w:rFonts w:hint="eastAsia"/>
          <w:sz w:val="24"/>
        </w:rPr>
        <w:t>设备封存管理</w:t>
      </w:r>
      <w:bookmarkEnd w:id="2"/>
    </w:p>
    <w:p w:rsidR="00867C1A" w:rsidRPr="00CB2BBA" w:rsidRDefault="00867C1A" w:rsidP="00867C1A">
      <w:pPr>
        <w:snapToGrid w:val="0"/>
        <w:spacing w:after="120"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对封存的特种设备进行审核、登记，方便历史记录查询。先由相关人员申请封存，再又审核部门审核完成后该设备状态变为封存状态，</w:t>
      </w:r>
      <w:r>
        <w:rPr>
          <w:rFonts w:hint="eastAsia"/>
        </w:rPr>
        <w:t>设备封存后，可以重新激活</w:t>
      </w:r>
      <w:r>
        <w:rPr>
          <w:rFonts w:ascii="宋体" w:hAnsi="宋体" w:cs="宋体" w:hint="eastAsia"/>
        </w:rPr>
        <w:t>。</w:t>
      </w:r>
    </w:p>
    <w:p w:rsidR="00867C1A" w:rsidRDefault="00867C1A" w:rsidP="00867C1A">
      <w:pPr>
        <w:pStyle w:val="a8"/>
        <w:snapToGrid w:val="0"/>
        <w:spacing w:after="120" w:line="360" w:lineRule="auto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4311650" cy="1669415"/>
            <wp:effectExtent l="19050" t="0" r="0" b="0"/>
            <wp:docPr id="3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1A" w:rsidRPr="00867C1A" w:rsidRDefault="00867C1A" w:rsidP="00867C1A">
      <w:pPr>
        <w:pStyle w:val="2"/>
        <w:rPr>
          <w:sz w:val="24"/>
        </w:rPr>
      </w:pPr>
      <w:bookmarkStart w:id="3" w:name="_Toc492277852"/>
      <w:r w:rsidRPr="00867C1A">
        <w:rPr>
          <w:rFonts w:hint="eastAsia"/>
          <w:sz w:val="24"/>
        </w:rPr>
        <w:t>11.</w:t>
      </w:r>
      <w:r w:rsidRPr="00867C1A">
        <w:rPr>
          <w:rFonts w:hint="eastAsia"/>
          <w:sz w:val="24"/>
        </w:rPr>
        <w:t>特种设备一览表</w:t>
      </w:r>
      <w:bookmarkEnd w:id="3"/>
    </w:p>
    <w:p w:rsidR="00867C1A" w:rsidRPr="00910BDA" w:rsidRDefault="00867C1A" w:rsidP="00867C1A">
      <w:pPr>
        <w:pStyle w:val="a8"/>
        <w:snapToGrid w:val="0"/>
        <w:spacing w:after="120" w:line="360" w:lineRule="auto"/>
        <w:rPr>
          <w:rFonts w:ascii="宋体" w:hAnsi="宋体" w:cs="宋体"/>
        </w:rPr>
      </w:pPr>
      <w:r>
        <w:rPr>
          <w:rFonts w:hint="eastAsia"/>
        </w:rPr>
        <w:t>根据用户选择的条件列出当前各个品种的特种设备明细数据。</w:t>
      </w:r>
      <w:r w:rsidRPr="00CD3EF8">
        <w:rPr>
          <w:rFonts w:hint="eastAsia"/>
        </w:rPr>
        <w:t>包含设备名称、注册代码、设备位号、设备类型、设备规格型号、所属设备、设备技术参数（类型、介质、温度、压力等）、检验日期（上次法定检查日期）、有效日期（下次法定检查日期）、使用证号、检验报告编号等信息</w:t>
      </w:r>
      <w:r>
        <w:rPr>
          <w:rFonts w:hint="eastAsia"/>
        </w:rPr>
        <w:t>。</w:t>
      </w:r>
    </w:p>
    <w:p w:rsidR="00867C1A" w:rsidRPr="00867C1A" w:rsidRDefault="00867C1A" w:rsidP="00867C1A">
      <w:pPr>
        <w:pStyle w:val="2"/>
        <w:rPr>
          <w:sz w:val="24"/>
        </w:rPr>
      </w:pPr>
      <w:bookmarkStart w:id="4" w:name="_Toc492277853"/>
      <w:r w:rsidRPr="00867C1A">
        <w:rPr>
          <w:rFonts w:hint="eastAsia"/>
          <w:sz w:val="24"/>
        </w:rPr>
        <w:t>12.</w:t>
      </w:r>
      <w:r w:rsidRPr="00867C1A">
        <w:rPr>
          <w:rFonts w:hint="eastAsia"/>
          <w:sz w:val="24"/>
        </w:rPr>
        <w:t>定检设备报表</w:t>
      </w:r>
      <w:bookmarkEnd w:id="4"/>
    </w:p>
    <w:p w:rsidR="00867C1A" w:rsidRDefault="00867C1A" w:rsidP="00867C1A">
      <w:pPr>
        <w:pStyle w:val="a8"/>
        <w:snapToGrid w:val="0"/>
        <w:spacing w:after="120" w:line="360" w:lineRule="auto"/>
        <w:jc w:val="left"/>
        <w:rPr>
          <w:rFonts w:ascii="宋体" w:hAnsi="宋体" w:cs="宋体"/>
        </w:rPr>
      </w:pPr>
      <w:r w:rsidRPr="00CD3EF8">
        <w:rPr>
          <w:rFonts w:hint="eastAsia"/>
        </w:rPr>
        <w:t>每次法定检查都必须在有效日期之前</w:t>
      </w:r>
      <w:r>
        <w:rPr>
          <w:rFonts w:hint="eastAsia"/>
        </w:rPr>
        <w:t>完成，法定检查明细报表</w:t>
      </w:r>
      <w:r w:rsidRPr="00CD3EF8">
        <w:rPr>
          <w:rFonts w:hint="eastAsia"/>
        </w:rPr>
        <w:t>可以帮助用户及时的筛选出规定时间内需要检查的设备，以免超过有效时间，导致违法行为的发生</w:t>
      </w:r>
      <w:r>
        <w:rPr>
          <w:rFonts w:hint="eastAsia"/>
        </w:rPr>
        <w:t>。</w:t>
      </w:r>
    </w:p>
    <w:p w:rsidR="00867C1A" w:rsidRPr="00867C1A" w:rsidRDefault="00867C1A" w:rsidP="00DC13C1">
      <w:pPr>
        <w:rPr>
          <w:sz w:val="28"/>
        </w:rPr>
      </w:pPr>
    </w:p>
    <w:sectPr w:rsidR="00867C1A" w:rsidRPr="00867C1A" w:rsidSect="00205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11" w:rsidRDefault="003C1F11" w:rsidP="004D0292">
      <w:r>
        <w:separator/>
      </w:r>
    </w:p>
  </w:endnote>
  <w:endnote w:type="continuationSeparator" w:id="1">
    <w:p w:rsidR="003C1F11" w:rsidRDefault="003C1F11" w:rsidP="004D0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11" w:rsidRDefault="003C1F11" w:rsidP="004D0292">
      <w:r>
        <w:separator/>
      </w:r>
    </w:p>
  </w:footnote>
  <w:footnote w:type="continuationSeparator" w:id="1">
    <w:p w:rsidR="003C1F11" w:rsidRDefault="003C1F11" w:rsidP="004D02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27CF"/>
    <w:multiLevelType w:val="hybridMultilevel"/>
    <w:tmpl w:val="F756593E"/>
    <w:lvl w:ilvl="0" w:tplc="54804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292"/>
    <w:rsid w:val="0009219C"/>
    <w:rsid w:val="000B7929"/>
    <w:rsid w:val="00107D35"/>
    <w:rsid w:val="001674C0"/>
    <w:rsid w:val="0017013B"/>
    <w:rsid w:val="00192BA1"/>
    <w:rsid w:val="001B1096"/>
    <w:rsid w:val="001B167B"/>
    <w:rsid w:val="001F02F4"/>
    <w:rsid w:val="002052AF"/>
    <w:rsid w:val="0027039D"/>
    <w:rsid w:val="002747AB"/>
    <w:rsid w:val="00293202"/>
    <w:rsid w:val="00306DF4"/>
    <w:rsid w:val="003C1F11"/>
    <w:rsid w:val="00411F65"/>
    <w:rsid w:val="004D0292"/>
    <w:rsid w:val="00502AAB"/>
    <w:rsid w:val="005A28AB"/>
    <w:rsid w:val="006B1724"/>
    <w:rsid w:val="00791BC4"/>
    <w:rsid w:val="007D0B1B"/>
    <w:rsid w:val="008055AF"/>
    <w:rsid w:val="00867C1A"/>
    <w:rsid w:val="0087527F"/>
    <w:rsid w:val="009967AC"/>
    <w:rsid w:val="00A76601"/>
    <w:rsid w:val="00C006C3"/>
    <w:rsid w:val="00DC13C1"/>
    <w:rsid w:val="00DE3609"/>
    <w:rsid w:val="00FA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3" type="connector" idref="#_x0000_s2051"/>
        <o:r id="V:Rule4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2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C1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2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292"/>
    <w:rPr>
      <w:sz w:val="18"/>
      <w:szCs w:val="18"/>
    </w:rPr>
  </w:style>
  <w:style w:type="paragraph" w:styleId="a5">
    <w:name w:val="List Paragraph"/>
    <w:basedOn w:val="a"/>
    <w:uiPriority w:val="34"/>
    <w:qFormat/>
    <w:rsid w:val="004D029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D02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0292"/>
    <w:rPr>
      <w:sz w:val="18"/>
      <w:szCs w:val="18"/>
    </w:rPr>
  </w:style>
  <w:style w:type="table" w:styleId="a7">
    <w:name w:val="Table Grid"/>
    <w:basedOn w:val="a1"/>
    <w:uiPriority w:val="59"/>
    <w:rsid w:val="002703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67C1A"/>
    <w:rPr>
      <w:rFonts w:ascii="Cambria" w:eastAsia="宋体" w:hAnsi="Cambria" w:cs="Times New Roman"/>
      <w:b/>
      <w:bCs/>
      <w:sz w:val="32"/>
      <w:szCs w:val="32"/>
    </w:rPr>
  </w:style>
  <w:style w:type="paragraph" w:customStyle="1" w:styleId="a8">
    <w:name w:val="正文（首行缩进两字）"/>
    <w:aliases w:val="表正文,正文非缩进,特点,特点 Char Char,特点 Char,正文（首行缩进两字） Char Char Char,四号,正文 + 黑体,行距: 最小值 12 磅"/>
    <w:basedOn w:val="a"/>
    <w:rsid w:val="00867C1A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9">
    <w:name w:val="Document Map"/>
    <w:basedOn w:val="a"/>
    <w:link w:val="Char2"/>
    <w:uiPriority w:val="99"/>
    <w:semiHidden/>
    <w:unhideWhenUsed/>
    <w:rsid w:val="00867C1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67C1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C1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9C85-2654-4031-AECD-065A7D44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190</Words>
  <Characters>1088</Characters>
  <Application>Microsoft Office Word</Application>
  <DocSecurity>0</DocSecurity>
  <Lines>9</Lines>
  <Paragraphs>2</Paragraphs>
  <ScaleCrop>false</ScaleCrop>
  <Company>Microsoft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2017-11-02T00:32:00Z</dcterms:created>
  <dcterms:modified xsi:type="dcterms:W3CDTF">2017-11-03T02:47:00Z</dcterms:modified>
</cp:coreProperties>
</file>