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截至2026年5月6日，全球重要新闻整理如下：</w:t>
      </w:r>
    </w:p>
    <w:p/>
    <w:p/>
    <w:p/>
    <w:p>
      <w:r>
        <w:t xml:space="preserve">### 🌏 市场与经济</w:t>
      </w:r>
    </w:p>
    <w:p/>
    <w:p>
      <w:r>
        <w:t xml:space="preserve">- **韩国Kospi指数再创新高**：在强劲经济动能驱动下，韩国Kospi指数延续涨势，刷新历史纪录。此外，美国前总统特朗普宣布暂停"自由计划"（Project Freedom）——美军原计划引导商船通过霍尔木兹海峡的行动，提振了部分市场情绪。（来源：CNBC）</w:t>
      </w:r>
    </w:p>
    <w:p/>
    <w:p>
      <w:r>
        <w:t xml:space="preserve">- **美国SEC提议取消季度财报要求**：特朗普政府下的美国证券交易委员会（SEC）提出重大改革，拟取消上市公司每季度发布财报的要求。此举如获通过，将深刻影响美国资本市场的披露节奏与投资决策模式。（来源：Forbes）</w:t>
      </w:r>
    </w:p>
    <w:p/>
    <w:p/>
    <w:p/>
    <w:p>
      <w:r>
        <w:t xml:space="preserve">### 🤖 科技与AI</w:t>
      </w:r>
    </w:p>
    <w:p/>
    <w:p>
      <w:r>
        <w:t xml:space="preserve">- **AI创业公司Blitzy估值达14亿美元**：这家以对标Claude Code与Codex闻名的AI公司，正在快速崛起，成为AI编程工具领域的新星。（来源：Forbes）</w:t>
      </w:r>
    </w:p>
    <w:p/>
    <w:p>
      <w:r>
        <w:t xml:space="preserve">- **英伟达GTC 2026与1万亿美元AI营收目标**：英伟达持续推进AI基础设施布局，其GTC 2026大会展示了通往1万亿美元AI营收的雄心与路线图。（来源：Forbes）</w:t>
      </w:r>
    </w:p>
    <w:p/>
    <w:p>
      <w:r>
        <w:t xml:space="preserve">- **韩国Jusung Engineering太阳能技术引发股价大涨**：这家韩国公司凭借先进太阳能技术，股价强势上扬，公司创始人由此跻身亿万富翁行列。（来源：Forbes）</w:t>
      </w:r>
    </w:p>
    <w:p/>
    <w:p/>
    <w:p/>
    <w:p>
      <w:r>
        <w:t xml:space="preserve">### 🛢️ 地缘政治与能源</w:t>
      </w:r>
    </w:p>
    <w:p/>
    <w:p>
      <w:r>
        <w:t xml:space="preserve">- **伊朗外长访华，美伊局势持续紧张**：伊朗外长阿卜杜拉希扬在美国与以色列对德黑兰开战后首次访问中国。与此同时，美国在霍尔木兹海峡的军事行动引发伊朗警告，称美方正在危及航运安全。（来源：CNBC）</w:t>
      </w:r>
    </w:p>
    <w:p/>
    <w:p/>
    <w:p/>
    <w:p>
      <w:r>
        <w:t xml:space="preserve">### 💼 企业与投资</w:t>
      </w:r>
    </w:p>
    <w:p/>
    <w:p>
      <w:r>
        <w:t xml:space="preserve">- **GameStop拟550亿美元竞购eBay**：GameStop提出高达550亿美元的收购要约，若成功，可能对亚马逊形成直接挑战。外界对此案能否落定保持高度关注。（来源：Forbes）</w:t>
      </w:r>
    </w:p>
    <w:p/>
    <w:p>
      <w:r>
        <w:t xml:space="preserve">- **MicroStrategy财报巨亏125亿美元，战略转向"卖币"**：因比特币价格在第一季度暴跌，MicroStrategy录得125亿美元净亏损。创始人Michael Saylor长期坚持的"永不卖出"策略出现逆转，公司开始出售部分比特币持仓。（来源：CNBC）</w:t>
      </w:r>
    </w:p>
    <w:p/>
    <w:p/>
    <w:p/>
    <w:p>
      <w:r>
        <w:t xml:space="preserve">以上就是今天的全球重点新闻概览，如果你对某条新闻感兴趣，我可以展开细聊～🌿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2026-05-06T07:57:54.848Z</dcterms:created>
  <dcterms:modified xsi:type="dcterms:W3CDTF">2026-05-06T07:57:54.848Z</dcterms:modified>
</cp:coreProperties>
</file>

<file path=docProps/custom.xml><?xml version="1.0" encoding="utf-8"?>
<Properties xmlns="http://schemas.openxmlformats.org/officeDocument/2006/custom-properties" xmlns:vt="http://schemas.openxmlformats.org/officeDocument/2006/docPropsVTypes"/>
</file>