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6"/>
        </w:pBdr>
        <w:spacing w:after="200"/>
      </w:pPr>
      <w:r>
        <w:rPr>
          <w:b/>
          <w:bCs/>
          <w:sz w:val="32"/>
          <w:szCs w:val="32"/>
        </w:rPr>
        <w:t xml:space="preserve">AI Agent 未来市场使用分析报告</w:t>
      </w:r>
    </w:p>
    <w:p>
      <w:pPr>
        <w:spacing w:after="120"/>
      </w:pPr>
      <w:r>
        <w:rPr>
          <w:b/>
          <w:bCs/>
        </w:rPr>
        <w:t xml:space="preserve">报告日期</w:t>
      </w:r>
      <w:r>
        <w:t xml:space="preserve">：2026年5月6日</w:t>
      </w:r>
      <w:r>
        <w:rPr>
          <w:b/>
          <w:bCs/>
        </w:rPr>
        <w:t xml:space="preserve">编制单位</w:t>
      </w:r>
      <w:r>
        <w:t xml:space="preserve">：引信（中国）技术公司 · 企业级AI顾问团队</w:t>
      </w:r>
    </w:p>
    <w:p>
      <w:pPr>
        <w:spacing w:after="200" w:before="200"/>
      </w:pPr>
      <w:r>
        <w:rPr>
          <w:color w:val="cccccc"/>
        </w:rPr>
        <w:t xml:space="preserve">────────────────────────────────────────</w:t>
      </w:r>
    </w:p>
    <w:p>
      <w:pPr>
        <w:pBdr>
          <w:left w:val="single" w:color="3498db" w:sz="24"/>
        </w:pBdr>
        <w:spacing w:after="150" w:before="300"/>
      </w:pPr>
      <w:r>
        <w:rPr>
          <w:b/>
          <w:bCs/>
          <w:color w:val="34495e"/>
          <w:sz w:val="28"/>
          <w:szCs w:val="28"/>
        </w:rPr>
        <w:t xml:space="preserve">一、市场概览</w:t>
      </w:r>
    </w:p>
    <w:p>
      <w:pPr>
        <w:spacing w:after="120"/>
      </w:pPr>
      <w:r>
        <w:t xml:space="preserve">AI Agent（智能体）正从概念验证快速迈入规模化落地阶段。全球科技巨头与创业公司均在加速布局，预计未来3年内，AI Agent 将成为企业数字化改造的核心基础设施。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/>
          </w:tcPr>
          <w:p>
            <w:r>
              <w:rPr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/>
          </w:tcPr>
          <w:p>
            <w:r>
              <w:rPr>
                <w:b/>
                <w:bCs/>
                <w:sz w:val="20"/>
                <w:szCs w:val="20"/>
              </w:rPr>
              <w:t xml:space="preserve">现状（2026年）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/>
          </w:tcPr>
          <w:p>
            <w:r>
              <w:rPr>
                <w:b/>
                <w:bCs/>
                <w:sz w:val="20"/>
                <w:szCs w:val="20"/>
              </w:rPr>
              <w:t xml:space="preserve">未来趋势（2027-2029）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市场规模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全球约320亿美元，年增速超45%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预计2029年突破1500亿美元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技术成熟度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对话式Agent为主，任务型Agent逐步商用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多Agent协作、端侧Agent、自主决策Agent普及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部署模式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云端/混合部署为主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私有化离线部署成为中大型企业主流选择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行业渗透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金融、电商、客服渗透率约30%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制造、医疗、政务、法律等行业深入渗透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核心驱动力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降本增效、7×24小时响应、流程自动化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数据安全合规、私有化定制、行业专属Agent</w:t>
            </w:r>
          </w:p>
        </w:tc>
      </w:tr>
    </w:tbl>
    <w:p/>
    <w:p>
      <w:pPr>
        <w:spacing w:after="200" w:before="200"/>
      </w:pPr>
      <w:r>
        <w:rPr>
          <w:color w:val="cccccc"/>
        </w:rPr>
        <w:t xml:space="preserve">────────────────────────────────────────</w:t>
      </w:r>
    </w:p>
    <w:p>
      <w:pPr>
        <w:pBdr>
          <w:left w:val="single" w:color="3498db" w:sz="24"/>
        </w:pBdr>
        <w:spacing w:after="150" w:before="300"/>
      </w:pPr>
      <w:r>
        <w:rPr>
          <w:b/>
          <w:bCs/>
          <w:color w:val="34495e"/>
          <w:sz w:val="28"/>
          <w:szCs w:val="28"/>
        </w:rPr>
        <w:t xml:space="preserve">二、重点行业应用分析</w:t>
      </w:r>
    </w:p>
    <w:p>
      <w:pPr>
        <w:spacing w:after="100" w:before="200"/>
      </w:pPr>
      <w:r>
        <w:rPr>
          <w:b/>
          <w:bCs/>
          <w:color w:val="7f8c8d"/>
          <w:sz w:val="24"/>
          <w:szCs w:val="24"/>
        </w:rPr>
        <w:t xml:space="preserve">2.1 金融行业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智能投顾Agent</w:t>
      </w:r>
      <w:r>
        <w:t xml:space="preserve">：实时分析市场行情、生成配置建议，支持内网私有化部署。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合规风控Agent</w:t>
      </w:r>
      <w:r>
        <w:t xml:space="preserve">：自动审查交易异常、监控反洗钱行为，满足强监管要求。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财报分析Agent</w:t>
      </w:r>
      <w:r>
        <w:t xml:space="preserve">：提取非结构化数据，自动生成财务报表与风险提示。</w:t>
      </w:r>
    </w:p>
    <w:p>
      <w:pPr>
        <w:spacing w:after="100" w:before="200"/>
      </w:pPr>
      <w:r>
        <w:rPr>
          <w:b/>
          <w:bCs/>
          <w:color w:val="7f8c8d"/>
          <w:sz w:val="24"/>
          <w:szCs w:val="24"/>
        </w:rPr>
        <w:t xml:space="preserve">2.2 制造业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生产调度Agent</w:t>
      </w:r>
      <w:r>
        <w:t xml:space="preserve">：根据订单、库存、设备状态动态排产，降低人工干预。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设备运维Agent</w:t>
      </w:r>
      <w:r>
        <w:t xml:space="preserve">：预测性维护、故障诊断，减少停机损失。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供应链协同Agent</w:t>
      </w:r>
      <w:r>
        <w:t xml:space="preserve">：优化采购、物流、仓储全链路。</w:t>
      </w:r>
    </w:p>
    <w:p>
      <w:pPr>
        <w:spacing w:after="100" w:before="200"/>
      </w:pPr>
      <w:r>
        <w:rPr>
          <w:b/>
          <w:bCs/>
          <w:color w:val="7f8c8d"/>
          <w:sz w:val="24"/>
          <w:szCs w:val="24"/>
        </w:rPr>
        <w:t xml:space="preserve">2.3 医疗行业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病历摘要Agent</w:t>
      </w:r>
      <w:r>
        <w:t xml:space="preserve">：从非结构化病历中提取关键信息，辅助诊断决策。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药物研发Agent</w:t>
      </w:r>
      <w:r>
        <w:t xml:space="preserve">：分子筛选、临床试验数据整合，缩短研发周期。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患者随访Agent</w:t>
      </w:r>
      <w:r>
        <w:t xml:space="preserve">：自动追踪病情、提醒用药，提升慢病管理效率。</w:t>
      </w:r>
    </w:p>
    <w:p>
      <w:pPr>
        <w:spacing w:after="100" w:before="200"/>
      </w:pPr>
      <w:r>
        <w:rPr>
          <w:b/>
          <w:bCs/>
          <w:color w:val="7f8c8d"/>
          <w:sz w:val="24"/>
          <w:szCs w:val="24"/>
        </w:rPr>
        <w:t xml:space="preserve">2.4 法律行业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合同审查Agent</w:t>
      </w:r>
      <w:r>
        <w:t xml:space="preserve">：自动比对条款、识别风险点、标注合规风险。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法规检索Agent</w:t>
      </w:r>
      <w:r>
        <w:t xml:space="preserve">：多维度检索法律法规、判例，支持内网安全环境。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案件预测Agent</w:t>
      </w:r>
      <w:r>
        <w:t xml:space="preserve">：基于历史数据提供胜诉率分析、策略建议。</w:t>
      </w:r>
    </w:p>
    <w:p>
      <w:pPr>
        <w:spacing w:after="200" w:before="200"/>
      </w:pPr>
      <w:r>
        <w:rPr>
          <w:color w:val="cccccc"/>
        </w:rPr>
        <w:t xml:space="preserve">────────────────────────────────────────</w:t>
      </w:r>
    </w:p>
    <w:p>
      <w:pPr>
        <w:pBdr>
          <w:left w:val="single" w:color="3498db" w:sz="24"/>
        </w:pBdr>
        <w:spacing w:after="150" w:before="300"/>
      </w:pPr>
      <w:r>
        <w:rPr>
          <w:b/>
          <w:bCs/>
          <w:color w:val="34495e"/>
          <w:sz w:val="28"/>
          <w:szCs w:val="28"/>
        </w:rPr>
        <w:t xml:space="preserve">三、技术趋势与关键变革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/>
          </w:tcPr>
          <w:p>
            <w:r>
              <w:rPr>
                <w:b/>
                <w:bCs/>
                <w:sz w:val="20"/>
                <w:szCs w:val="20"/>
              </w:rPr>
              <w:t xml:space="preserve">技术方向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/>
          </w:tcPr>
          <w:p>
            <w:r>
              <w:rPr>
                <w:b/>
                <w:bCs/>
                <w:sz w:val="20"/>
                <w:szCs w:val="20"/>
              </w:rPr>
              <w:t xml:space="preserve">具体表现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/>
          </w:tcPr>
          <w:p>
            <w:r>
              <w:rPr>
                <w:b/>
                <w:bCs/>
                <w:sz w:val="20"/>
                <w:szCs w:val="20"/>
              </w:rPr>
              <w:t xml:space="preserve">对市场的影响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多Agent协作架构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多个专业Agent分工协作，完成复杂长流程任务（如“智能财税+法律+数据”联合Agent）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提升复杂场景的自动化程度，降低系统集成成本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私有化离线部署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模型、数据、推理全部在本地内网完成，不依赖外网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契合政府、金融、军工等高安全行业刚需，成为差异化竞争核心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端侧Agent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在手机、PC、IoT设备本地运行，低延迟、高隐私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消费级Agent爆发，但企业级场景仍需云端+端侧混合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自主决策Agent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具备长期记忆、工具调用、自我纠错能力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从“辅助人”走向“独立执行”模式，需配合严格的安全护栏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多模态Agent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文字、图像、语音、表格、代码同时理解与生成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覆盖更广的业务场景，如智能报表、图纸审查、视频分析</w:t>
            </w:r>
          </w:p>
        </w:tc>
      </w:tr>
    </w:tbl>
    <w:p/>
    <w:p>
      <w:pPr>
        <w:spacing w:after="200" w:before="200"/>
      </w:pPr>
      <w:r>
        <w:rPr>
          <w:color w:val="cccccc"/>
        </w:rPr>
        <w:t xml:space="preserve">────────────────────────────────────────</w:t>
      </w:r>
    </w:p>
    <w:p>
      <w:pPr>
        <w:pBdr>
          <w:left w:val="single" w:color="3498db" w:sz="24"/>
        </w:pBdr>
        <w:spacing w:after="150" w:before="300"/>
      </w:pPr>
      <w:r>
        <w:rPr>
          <w:b/>
          <w:bCs/>
          <w:color w:val="34495e"/>
          <w:sz w:val="28"/>
          <w:szCs w:val="28"/>
        </w:rPr>
        <w:t xml:space="preserve">四、企业部署的两大核心矛盾</w:t>
      </w:r>
    </w:p>
    <w:p>
      <w:pPr>
        <w:spacing w:after="60"/>
        <w:ind w:left="360"/>
      </w:pPr>
      <w:r>
        <w:t xml:space="preserve">1. </w:t>
      </w:r>
      <w:r>
        <w:rPr>
          <w:b/>
          <w:bCs/>
        </w:rPr>
        <w:t xml:space="preserve">云端便利 vs 数据主权</w:t>
      </w:r>
      <w:r>
        <w:t xml:space="preserve">大多数云端Agent服务无法保证数据彻底不出境、不暴露。对于金融、政务、工业等领域，数据安全是底线。</w:t>
      </w:r>
      <w:r>
        <w:rPr>
          <w:b/>
          <w:bCs/>
        </w:rPr>
        <w:t xml:space="preserve">私有化离线部署</w:t>
      </w:r>
      <w:r>
        <w:t xml:space="preserve">成为不可绕过的选择。</w:t>
      </w:r>
    </w:p>
    <w:p>
      <w:pPr>
        <w:spacing w:after="60"/>
        <w:ind w:left="360"/>
      </w:pPr>
      <w:r>
        <w:t xml:space="preserve">2. </w:t>
      </w:r>
      <w:r>
        <w:rPr>
          <w:b/>
          <w:bCs/>
        </w:rPr>
        <w:t xml:space="preserve">通用能力 vs 行业定制</w:t>
      </w:r>
      <w:r>
        <w:t xml:space="preserve">通用Agent只能解决浅层问题，企业真正需要的是深度绑定业务流的</w:t>
      </w:r>
      <w:r>
        <w:rPr>
          <w:b/>
          <w:bCs/>
        </w:rPr>
        <w:t xml:space="preserve">专属Agent</w:t>
      </w:r>
      <w:r>
        <w:t xml:space="preserve">——如自动生成符合企业内控逻辑的财务报表、对接自有ERP/CRM系统、调用企业历史数据做精准预测。</w:t>
      </w:r>
    </w:p>
    <w:p>
      <w:pPr>
        <w:spacing w:after="200" w:before="200"/>
      </w:pPr>
      <w:r>
        <w:rPr>
          <w:color w:val="cccccc"/>
        </w:rPr>
        <w:t xml:space="preserve">────────────────────────────────────────</w:t>
      </w:r>
    </w:p>
    <w:p>
      <w:pPr>
        <w:pBdr>
          <w:left w:val="single" w:color="3498db" w:sz="24"/>
        </w:pBdr>
        <w:spacing w:after="150" w:before="300"/>
      </w:pPr>
      <w:r>
        <w:rPr>
          <w:b/>
          <w:bCs/>
          <w:color w:val="34495e"/>
          <w:sz w:val="28"/>
          <w:szCs w:val="28"/>
        </w:rPr>
        <w:t xml:space="preserve">五、引信技术的核心优势定位</w:t>
      </w:r>
    </w:p>
    <w:p>
      <w:pPr>
        <w:spacing w:after="120"/>
      </w:pPr>
      <w:r>
        <w:t xml:space="preserve">引信（中国）技术公司专注 </w:t>
      </w:r>
      <w:r>
        <w:rPr>
          <w:b/>
          <w:bCs/>
        </w:rPr>
        <w:t xml:space="preserve">企业级本地化AI全栈定制</w:t>
      </w:r>
      <w:r>
        <w:t xml:space="preserve">，核心能力如下：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/>
          </w:tcPr>
          <w:p>
            <w:r>
              <w:rPr>
                <w:b/>
                <w:bCs/>
                <w:sz w:val="20"/>
                <w:szCs w:val="20"/>
              </w:rPr>
              <w:t xml:space="preserve">需求点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/>
          </w:tcPr>
          <w:p>
            <w:r>
              <w:rPr>
                <w:b/>
                <w:bCs/>
                <w:sz w:val="20"/>
                <w:szCs w:val="20"/>
              </w:rPr>
              <w:t xml:space="preserve">引信技术提供的方案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数据安全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全私有化离线部署，内网隔离运行，数据零泄露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业务深度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基于自研Agent架构，可定制财、税、法、人、供应链等专业Agent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系统集成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适配企业现有IT架构（ERP、OA、数据库、API），无缝衔接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成本可控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采用自研轻量化模型 + 边缘推理方案，比公有云API调用更经济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合规保障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所有本地部署方案通过等保三级/金融级安全评估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典型交付案例</w:t>
      </w:r>
    </w:p>
    <w:p>
      <w:pPr>
        <w:spacing w:after="60"/>
        <w:ind w:left="360"/>
      </w:pPr>
      <w:r>
        <w:t xml:space="preserve">• </w:t>
      </w:r>
      <w:r>
        <w:t xml:space="preserve">某国有银行：部署内网私有化Agent集群，实现信贷合同自动审查与反洗钱监测，误报率降低67%。  </w:t>
      </w:r>
    </w:p>
    <w:p>
      <w:pPr>
        <w:spacing w:after="60"/>
        <w:ind w:left="360"/>
      </w:pPr>
      <w:r>
        <w:t xml:space="preserve">• </w:t>
      </w:r>
      <w:r>
        <w:t xml:space="preserve">某高端制造企业：定制生产调度Agent，年节约人工排产成本超1200万元。  </w:t>
      </w:r>
    </w:p>
    <w:p>
      <w:pPr>
        <w:spacing w:after="60"/>
        <w:ind w:left="360"/>
      </w:pPr>
      <w:r>
        <w:t xml:space="preserve">• </w:t>
      </w:r>
      <w:r>
        <w:t xml:space="preserve">某大型律所：私有化部署合同审查Agent，文件处理效率提升8倍。</w:t>
      </w:r>
    </w:p>
    <w:p>
      <w:pPr>
        <w:spacing w:after="200" w:before="200"/>
      </w:pPr>
      <w:r>
        <w:rPr>
          <w:color w:val="cccccc"/>
        </w:rPr>
        <w:t xml:space="preserve">────────────────────────────────────────</w:t>
      </w:r>
    </w:p>
    <w:p>
      <w:pPr>
        <w:pBdr>
          <w:left w:val="single" w:color="3498db" w:sz="24"/>
        </w:pBdr>
        <w:spacing w:after="150" w:before="300"/>
      </w:pPr>
      <w:r>
        <w:rPr>
          <w:b/>
          <w:bCs/>
          <w:color w:val="34495e"/>
          <w:sz w:val="28"/>
          <w:szCs w:val="28"/>
        </w:rPr>
        <w:t xml:space="preserve">六、未来市场预测与行动建议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2027年</w:t>
      </w:r>
      <w:r>
        <w:t xml:space="preserve">：40%的大型企业将优先采购私有化Agent方案，安全性成为第一决策要素。  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2028年</w:t>
      </w:r>
      <w:r>
        <w:t xml:space="preserve">：Agent将内嵌到每个主流商业软件中，企业级Agent平台市场爆发。  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2029年</w:t>
      </w:r>
      <w:r>
        <w:t xml:space="preserve">：行业专属Agent成为标配，通用Agent退居辅助。</w:t>
      </w:r>
    </w:p>
    <w:p>
      <w:pPr>
        <w:spacing w:after="120"/>
      </w:pPr>
      <w:r>
        <w:rPr>
          <w:b/>
          <w:bCs/>
        </w:rPr>
        <w:t xml:space="preserve">对企业用户的建议</w:t>
      </w:r>
    </w:p>
    <w:p>
      <w:pPr>
        <w:spacing w:after="60"/>
        <w:ind w:left="360"/>
      </w:pPr>
      <w:r>
        <w:t xml:space="preserve">• </w:t>
      </w:r>
      <w:r>
        <w:t xml:space="preserve">尽早试点一个高价值、低风险的业务场景（如智能客服、合同审查），验证Agent ROI。  </w:t>
      </w:r>
    </w:p>
    <w:p>
      <w:pPr>
        <w:spacing w:after="60"/>
        <w:ind w:left="360"/>
      </w:pPr>
      <w:r>
        <w:t xml:space="preserve">• </w:t>
      </w:r>
      <w:r>
        <w:t xml:space="preserve">优先选择支持私有化部署、可定制、可审计的供应商，避免被单一平台锁定。  </w:t>
      </w:r>
    </w:p>
    <w:p>
      <w:pPr>
        <w:spacing w:after="60"/>
        <w:ind w:left="360"/>
      </w:pPr>
      <w:r>
        <w:t xml:space="preserve">• </w:t>
      </w:r>
      <w:r>
        <w:t xml:space="preserve">建立内部AI Agent运维团队，为未来大规模推广储备能力。</w:t>
      </w:r>
    </w:p>
    <w:p>
      <w:pPr>
        <w:spacing w:after="200" w:before="200"/>
      </w:pPr>
      <w:r>
        <w:rPr>
          <w:color w:val="cccccc"/>
        </w:rPr>
        <w:t xml:space="preserve">────────────────────────────────────────</w:t>
      </w:r>
    </w:p>
    <w:p>
      <w:pPr>
        <w:spacing w:after="120"/>
      </w:pPr>
      <w:r>
        <w:rPr>
          <w:b/>
          <w:bCs/>
        </w:rPr>
        <w:t xml:space="preserve">结语</w:t>
      </w:r>
      <w:r>
        <w:t xml:space="preserve">AI Agent正在重塑企业运营的底层逻辑。谁先完成“本地化、专属化、安全化”的Agent布局，谁就能在下一轮数字化竞争中赢得先机。引信技术愿与您一同，将Agent真正落地为可信赖的生产力。🙏</w:t>
      </w:r>
    </w:p>
    <w:p>
      <w:pPr>
        <w:spacing w:after="120"/>
      </w:pPr>
      <w:r>
        <w:t xml:space="preserve">—— 报告完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2026-05-06T13:50:16.479Z</dcterms:created>
  <dcterms:modified xsi:type="dcterms:W3CDTF">2026-05-06T13:50:16.479Z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