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D615" w14:textId="77777777" w:rsidR="009E3071" w:rsidRDefault="00000000">
      <w:pPr>
        <w:pStyle w:val="aa"/>
      </w:pPr>
      <w:r>
        <w:t>Accessibility in Digital Public Services</w:t>
      </w:r>
    </w:p>
    <w:tbl>
      <w:tblPr>
        <w:tblW w:w="0" w:type="auto"/>
        <w:tblLook w:val="04A0" w:firstRow="1" w:lastRow="0" w:firstColumn="1" w:lastColumn="0" w:noHBand="0" w:noVBand="1"/>
      </w:tblPr>
      <w:tblGrid>
        <w:gridCol w:w="9792"/>
      </w:tblGrid>
      <w:tr w:rsidR="009E3071" w14:paraId="63A55F64" w14:textId="77777777">
        <w:tc>
          <w:tcPr>
            <w:tcW w:w="9792" w:type="dxa"/>
            <w:shd w:val="clear" w:color="auto" w:fill="EAF2F8"/>
          </w:tcPr>
          <w:p w14:paraId="267EA5A5" w14:textId="77777777" w:rsidR="009E3071" w:rsidRDefault="00000000">
            <w:pPr>
              <w:spacing w:after="40"/>
            </w:pPr>
            <w:r>
              <w:rPr>
                <w:b/>
              </w:rPr>
              <w:t>Abstract—</w:t>
            </w:r>
            <w:r>
              <w:t>Digital public services increasingly mediate access to essential public functions, including welfare applications, identity-document renewal, health information, bill payment, and communication with government agencies. This paper argues that accessibility should be treated as a core design requirement rather than as a late-stage compliance exercise. By examining accessibility as a principle that shapes information architecture, interface design, error recovery, and compatibility with assistive technologies, the paper shows that accessible design improves service quality not only for people with disabilities but also for a broader range of users operating under diverse physical, cognitive, technological, and situational constraints.</w:t>
            </w:r>
          </w:p>
        </w:tc>
      </w:tr>
    </w:tbl>
    <w:p w14:paraId="5A495EDC" w14:textId="77777777" w:rsidR="009E3071" w:rsidRDefault="00000000">
      <w:pPr>
        <w:spacing w:before="120"/>
      </w:pPr>
      <w:r>
        <w:rPr>
          <w:b/>
        </w:rPr>
        <w:t xml:space="preserve">Keywords: </w:t>
      </w:r>
      <w:r>
        <w:t>digital public services; accessibility; inclusive design; assistive technology; public-sector service delivery</w:t>
      </w:r>
    </w:p>
    <w:p w14:paraId="4BC90E77" w14:textId="77777777" w:rsidR="009E3071" w:rsidRDefault="00000000">
      <w:pPr>
        <w:pStyle w:val="1"/>
      </w:pPr>
      <w:r>
        <w:t>1. Introduction</w:t>
      </w:r>
    </w:p>
    <w:p w14:paraId="7B3CBE53" w14:textId="77777777" w:rsidR="009E3071" w:rsidRDefault="00000000">
      <w:pPr>
        <w:ind w:firstLine="360"/>
        <w:jc w:val="both"/>
      </w:pPr>
      <w:r>
        <w:t>Digital public services have become a primary channel through which individuals interact with public institutions. Tasks that were once completed in person or through paper-based procedures are now frequently conducted through websites, online forms, downloadable documents, mobile interfaces, and automated communication systems. This shift can improve efficiency and convenience, but it can also create new barriers when services are not designed for users with diverse abilities, devices, literacy levels, and support needs.</w:t>
      </w:r>
    </w:p>
    <w:p w14:paraId="645E60D9" w14:textId="77777777" w:rsidR="009E3071" w:rsidRDefault="00000000">
      <w:pPr>
        <w:ind w:firstLine="360"/>
        <w:jc w:val="both"/>
      </w:pPr>
      <w:r>
        <w:t>The accessibility of public digital systems is therefore not a peripheral design issue. When a public-service website is difficult to perceive, navigate, or understand, the consequence is not merely inconvenience. Users may be prevented from applying for benefits, meeting administrative deadlines, obtaining health guidance, paying required fees, or understanding their legal rights and responsibilities. In this context, inaccessible design can directly affect social participation and access to essential services.</w:t>
      </w:r>
    </w:p>
    <w:p w14:paraId="13B657DA" w14:textId="77777777" w:rsidR="009E3071" w:rsidRDefault="00000000">
      <w:pPr>
        <w:ind w:firstLine="360"/>
        <w:jc w:val="both"/>
      </w:pPr>
      <w:r>
        <w:t>This paper discusses accessibility as a design requirement for digital public services. It argues that accessibility should inform the whole service lifecycle, including the way information is written, the structure of interfaces, the presentation of feedback, and the mechanisms that allow users to recover from mistakes. Accessibility is thus best understood not as a checklist applied at the end of development, but as a quality standard that should guide the design, implementation, and evaluation of public digital systems.</w:t>
      </w:r>
    </w:p>
    <w:p w14:paraId="5554F2B4" w14:textId="77777777" w:rsidR="009E3071" w:rsidRDefault="00000000">
      <w:pPr>
        <w:pStyle w:val="1"/>
      </w:pPr>
      <w:r>
        <w:t>2. Definition of Accessibility</w:t>
      </w:r>
    </w:p>
    <w:p w14:paraId="36EFB92F" w14:textId="21DFAA69" w:rsidR="009E3071" w:rsidRDefault="00000000">
      <w:pPr>
        <w:ind w:firstLine="360"/>
        <w:jc w:val="both"/>
      </w:pPr>
      <w:r>
        <w:t xml:space="preserve">For the purpose of this paper, </w:t>
      </w:r>
      <w:r w:rsidR="000B0FB7">
        <w:t>[add definition here]</w:t>
      </w:r>
      <w:r>
        <w:t>. In digital public services, this includes the ability to perceive information, understand instructions, navigate interfaces, complete tasks, and receive meaningful feedback without unnecessary barriers.</w:t>
      </w:r>
    </w:p>
    <w:p w14:paraId="25A01917" w14:textId="77777777" w:rsidR="009E3071" w:rsidRDefault="00000000">
      <w:pPr>
        <w:ind w:firstLine="360"/>
        <w:jc w:val="both"/>
      </w:pPr>
      <w:r>
        <w:t>This definition is intentionally broader than a narrow focus on disability-specific features. Accessibility includes support for users who rely on screen readers, magnification tools, keyboard navigation, captions, alternative input devices, or simplified content. It also includes design choices that benefit older adults, users with temporary injuries, people using small screens, individuals with limited digital literacy, and users operating under stress or with limited bandwidth.</w:t>
      </w:r>
    </w:p>
    <w:p w14:paraId="09EF591B" w14:textId="77777777" w:rsidR="009E3071" w:rsidRDefault="00000000">
      <w:pPr>
        <w:ind w:firstLine="360"/>
        <w:jc w:val="both"/>
      </w:pPr>
      <w:r>
        <w:t xml:space="preserve">Understanding accessibility in this broader sense connects it to the design of the entire service experience. A service is not accessible simply because one technical feature has been added. It becomes accessible when </w:t>
      </w:r>
      <w:r>
        <w:lastRenderedPageBreak/>
        <w:t>its content, structure, interaction patterns, and support mechanisms allow diverse users to complete important tasks with independence, accuracy, and confidence.</w:t>
      </w:r>
    </w:p>
    <w:p w14:paraId="3E3A1ACE" w14:textId="77777777" w:rsidR="009E3071" w:rsidRDefault="00000000">
      <w:pPr>
        <w:pStyle w:val="1"/>
      </w:pPr>
      <w:r>
        <w:t>3. Why the Definition Matters</w:t>
      </w:r>
    </w:p>
    <w:p w14:paraId="56231AF0" w14:textId="77777777" w:rsidR="009E3071" w:rsidRDefault="00000000">
      <w:pPr>
        <w:ind w:firstLine="360"/>
        <w:jc w:val="both"/>
      </w:pPr>
      <w:r>
        <w:t>A clear definition of accessibility is important because it changes when and how accessibility work is carried out. If accessibility is treated only as a compliance requirement, it is likely to be addressed late in the development process through superficial corrections. By contrast, if accessibility is treated as a design principle, it influences early decisions about content structure, navigation, form design, visual presentation, and user support.</w:t>
      </w:r>
    </w:p>
    <w:p w14:paraId="1BCD5BAE" w14:textId="77777777" w:rsidR="009E3071" w:rsidRDefault="00000000">
      <w:pPr>
        <w:ind w:firstLine="360"/>
        <w:jc w:val="both"/>
      </w:pPr>
      <w:r>
        <w:t>For example, a public-service website should provide meaningful headings, readable text, consistent navigation, clear labels for form fields, visible focus indicators, keyboard-accessible controls, descriptive links, and error messages that explain both the problem and the required correction. These features are often associated with users with disabilities, but their practical value is much wider. They reduce confusion, improve task completion, and make services more reliable for users in many contexts.</w:t>
      </w:r>
    </w:p>
    <w:p w14:paraId="3042EAAB" w14:textId="77777777" w:rsidR="009E3071" w:rsidRDefault="00000000">
      <w:pPr>
        <w:ind w:firstLine="360"/>
        <w:jc w:val="both"/>
      </w:pPr>
      <w:r>
        <w:t>The definition also matters because digital public services often serve people who cannot easily choose an alternative provider. A commercial website that is difficult to use may cause a customer to leave. A public website that is difficult to use may prevent a citizen from accessing a required service. This difference increases the ethical and practical importance of accessibility in the public sector.</w:t>
      </w:r>
    </w:p>
    <w:p w14:paraId="12316E67" w14:textId="77777777" w:rsidR="009E3071" w:rsidRDefault="00000000">
      <w:pPr>
        <w:pStyle w:val="1"/>
      </w:pPr>
      <w:r>
        <w:t>4. Accessibility as a Design Requirement</w:t>
      </w:r>
    </w:p>
    <w:p w14:paraId="0D651573" w14:textId="77777777" w:rsidR="009E3071" w:rsidRDefault="00000000">
      <w:pPr>
        <w:ind w:firstLine="360"/>
        <w:jc w:val="both"/>
      </w:pPr>
      <w:r>
        <w:t>Accessibility should be integrated into public-service design from the earliest stages of planning. During content design, information should be written in plain language, organized with clear headings, and presented in a logical sequence. During interaction design, forms should minimize unnecessary complexity, support multiple input methods, and allow users to review and correct information before submission. During technical implementation, services should be compatible with assistive technologies and should avoid relying on a single sensory channel, device type, or interaction method.</w:t>
      </w:r>
    </w:p>
    <w:p w14:paraId="79F4A0CF" w14:textId="77777777" w:rsidR="009E3071" w:rsidRDefault="00000000">
      <w:pPr>
        <w:ind w:firstLine="360"/>
        <w:jc w:val="both"/>
      </w:pPr>
      <w:r>
        <w:t>Error recovery is especially important in public services. Users should not be left uncertain about whether a submission has failed, whether information has been saved, or what action is required next. Accessible error handling includes specific messages, clear visual and textual cues, and instructions that do not depend only on color or vague warnings. These practices help prevent user frustration and reduce the risk of incomplete or incorrect submissions.</w:t>
      </w:r>
    </w:p>
    <w:p w14:paraId="38CA22B4" w14:textId="77777777" w:rsidR="009E3071" w:rsidRDefault="00000000">
      <w:pPr>
        <w:ind w:firstLine="360"/>
        <w:jc w:val="both"/>
      </w:pPr>
      <w:r>
        <w:t>Accessibility also requires evaluation throughout the service lifecycle. Automated tests can identify some technical issues, but they cannot fully assess whether users can understand instructions, navigate complex processes, or recover from errors. For this reason, accessibility evaluation should combine technical checks, expert review, and usability testing with people who represent a range of access needs.</w:t>
      </w:r>
    </w:p>
    <w:p w14:paraId="3DA236D2" w14:textId="77777777" w:rsidR="009E3071" w:rsidRDefault="00000000">
      <w:pPr>
        <w:pStyle w:val="1"/>
      </w:pPr>
      <w:r>
        <w:t>5. Conclusion</w:t>
      </w:r>
    </w:p>
    <w:p w14:paraId="131DF18E" w14:textId="77777777" w:rsidR="009E3071" w:rsidRDefault="00000000">
      <w:pPr>
        <w:ind w:firstLine="360"/>
        <w:jc w:val="both"/>
      </w:pPr>
      <w:r>
        <w:t>Accessibility should be understood as a fundamental dimension of quality in digital public services. Because these services often provide access to essential information, rights, and administrative processes, inaccessible design can produce exclusion in areas of everyday life where users have limited alternatives.</w:t>
      </w:r>
    </w:p>
    <w:p w14:paraId="7EC89133" w14:textId="77777777" w:rsidR="009E3071" w:rsidRDefault="00000000">
      <w:pPr>
        <w:ind w:firstLine="360"/>
        <w:jc w:val="both"/>
      </w:pPr>
      <w:r>
        <w:t xml:space="preserve">Designing for accessibility improves the experience of people with disabilities while also benefiting many other users, including older adults, mobile users, people with temporary limitations, and individuals facing stressful or unfamiliar tasks. Public agencies should therefore treat accessibility as an ongoing design </w:t>
      </w:r>
      <w:r>
        <w:lastRenderedPageBreak/>
        <w:t>responsibility rather than a final compliance check. When accessibility is embedded into the structure, content, and interaction design of digital services, more people are able to complete important tasks independently and with confidence.</w:t>
      </w:r>
    </w:p>
    <w:p w14:paraId="6F774FB4" w14:textId="77777777" w:rsidR="009E3071" w:rsidRDefault="00000000">
      <w:pPr>
        <w:pStyle w:val="1"/>
      </w:pPr>
      <w:r>
        <w:t>References</w:t>
      </w:r>
    </w:p>
    <w:p w14:paraId="4F39A819" w14:textId="77777777" w:rsidR="009E3071" w:rsidRDefault="00000000">
      <w:pPr>
        <w:spacing w:after="60"/>
        <w:ind w:left="360" w:hanging="360"/>
      </w:pPr>
      <w:r>
        <w:t>[1] World Wide Web Consortium. Web Content Accessibility Guidelines (WCAG).</w:t>
      </w:r>
    </w:p>
    <w:p w14:paraId="71F29CB9" w14:textId="77777777" w:rsidR="009E3071" w:rsidRDefault="00000000">
      <w:pPr>
        <w:spacing w:after="60"/>
        <w:ind w:left="360" w:hanging="360"/>
      </w:pPr>
      <w:r>
        <w:t>[2] United Nations. Convention on the Rights of Persons with Disabilities.</w:t>
      </w:r>
    </w:p>
    <w:p w14:paraId="037356A7" w14:textId="77777777" w:rsidR="009E3071" w:rsidRDefault="00000000">
      <w:pPr>
        <w:spacing w:after="60"/>
        <w:ind w:left="360" w:hanging="360"/>
      </w:pPr>
      <w:r>
        <w:t>[3] ISO. Ergonomics of human-system interaction: Accessibility and inclusive design principles.</w:t>
      </w:r>
    </w:p>
    <w:sectPr w:rsidR="009E3071" w:rsidSect="00034616">
      <w:headerReference w:type="default" r:id="rId8"/>
      <w:footerReference w:type="default" r:id="rId9"/>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E4E0" w14:textId="77777777" w:rsidR="005E1781" w:rsidRDefault="005E1781">
      <w:pPr>
        <w:spacing w:after="0" w:line="240" w:lineRule="auto"/>
      </w:pPr>
      <w:r>
        <w:separator/>
      </w:r>
    </w:p>
  </w:endnote>
  <w:endnote w:type="continuationSeparator" w:id="0">
    <w:p w14:paraId="46702D91" w14:textId="77777777" w:rsidR="005E1781" w:rsidRDefault="005E1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11F" w14:textId="77777777" w:rsidR="009E3071" w:rsidRDefault="00000000">
    <w:pPr>
      <w:pStyle w:val="a7"/>
      <w:jc w:val="center"/>
    </w:pPr>
    <w:r>
      <w:rPr>
        <w:color w:val="646464"/>
        <w:sz w:val="18"/>
      </w:rPr>
      <w:fldChar w:fldCharType="begin"/>
    </w:r>
    <w:r>
      <w:rPr>
        <w:color w:val="646464"/>
        <w:sz w:val="18"/>
      </w:rPr>
      <w:instrText>PAGE</w:instrText>
    </w:r>
    <w:r>
      <w:rPr>
        <w:color w:val="646464"/>
        <w:sz w:val="18"/>
      </w:rPr>
      <w:fldChar w:fldCharType="separate"/>
    </w:r>
    <w:r w:rsidR="00216076">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A078" w14:textId="77777777" w:rsidR="005E1781" w:rsidRDefault="005E1781">
      <w:pPr>
        <w:spacing w:after="0" w:line="240" w:lineRule="auto"/>
      </w:pPr>
      <w:r>
        <w:separator/>
      </w:r>
    </w:p>
  </w:footnote>
  <w:footnote w:type="continuationSeparator" w:id="0">
    <w:p w14:paraId="4654C6E6" w14:textId="77777777" w:rsidR="005E1781" w:rsidRDefault="005E1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10AB" w14:textId="77777777" w:rsidR="009E3071" w:rsidRDefault="00000000">
    <w:pPr>
      <w:pStyle w:val="a5"/>
      <w:jc w:val="right"/>
    </w:pPr>
    <w:r>
      <w:rPr>
        <w:color w:val="646464"/>
        <w:sz w:val="18"/>
      </w:rPr>
      <w:t>Accessibility in Digital Public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0718582">
    <w:abstractNumId w:val="8"/>
  </w:num>
  <w:num w:numId="2" w16cid:durableId="519129786">
    <w:abstractNumId w:val="6"/>
  </w:num>
  <w:num w:numId="3" w16cid:durableId="1088770668">
    <w:abstractNumId w:val="5"/>
  </w:num>
  <w:num w:numId="4" w16cid:durableId="1798598576">
    <w:abstractNumId w:val="4"/>
  </w:num>
  <w:num w:numId="5" w16cid:durableId="63569963">
    <w:abstractNumId w:val="7"/>
  </w:num>
  <w:num w:numId="6" w16cid:durableId="1869104918">
    <w:abstractNumId w:val="3"/>
  </w:num>
  <w:num w:numId="7" w16cid:durableId="2124107928">
    <w:abstractNumId w:val="2"/>
  </w:num>
  <w:num w:numId="8" w16cid:durableId="373044149">
    <w:abstractNumId w:val="1"/>
  </w:num>
  <w:num w:numId="9" w16cid:durableId="214565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B7"/>
    <w:rsid w:val="0015074B"/>
    <w:rsid w:val="00216076"/>
    <w:rsid w:val="0029639D"/>
    <w:rsid w:val="00326F90"/>
    <w:rsid w:val="004D78C1"/>
    <w:rsid w:val="005E1781"/>
    <w:rsid w:val="008E5B3E"/>
    <w:rsid w:val="009E3071"/>
    <w:rsid w:val="00AA1D8D"/>
    <w:rsid w:val="00B47730"/>
    <w:rsid w:val="00CB0664"/>
    <w:rsid w:val="00EA6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2A67C"/>
  <w14:defaultImageDpi w14:val="300"/>
  <w15:docId w15:val="{4EDDF8E3-B541-4A58-BA1D-6C5E72A5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40" w:after="8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b/>
      <w:color w:val="1F4E79"/>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Weiming Li</cp:lastModifiedBy>
  <cp:revision>3</cp:revision>
  <dcterms:created xsi:type="dcterms:W3CDTF">2013-12-23T23:15:00Z</dcterms:created>
  <dcterms:modified xsi:type="dcterms:W3CDTF">2026-07-05T06:56:00Z</dcterms:modified>
  <cp:category/>
</cp:coreProperties>
</file>