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0F4C75"/>
          <w:sz w:val="32"/>
          <w:szCs w:val="32"/>
        </w:rPr>
        <w:t xml:space="preserve">醫療大型語言模型幻覺中的</w:t>
      </w:r>
    </w:p>
    <w:p>
      <w:pPr>
        <w:spacing w:after="80"/>
        <w:jc w:val="center"/>
      </w:pPr>
      <w:r>
        <w:rPr>
          <w:rFonts w:ascii="Arial" w:cs="Arial" w:eastAsia="Arial" w:hAnsi="Arial"/>
          <w:b/>
          <w:bCs/>
          <w:color w:val="0F4C75"/>
          <w:sz w:val="32"/>
          <w:szCs w:val="32"/>
        </w:rPr>
        <w:t xml:space="preserve">交叉人口統計差異研究</w:t>
      </w:r>
    </w:p>
    <w:p>
      <w:pPr>
        <w:spacing w:after="80"/>
        <w:jc w:val="center"/>
      </w:pPr>
      <w:r>
        <w:rPr>
          <w:rFonts w:ascii="Arial" w:cs="Arial" w:eastAsia="Arial" w:hAnsi="Arial"/>
          <w:color w:val="5A6F84"/>
          <w:sz w:val="24"/>
          <w:szCs w:val="24"/>
        </w:rPr>
        <w:t xml:space="preserve">GPT-4o-mini 臨床回應的探索性研究</w:t>
      </w:r>
    </w:p>
    <w:p>
      <w:pPr>
        <w:spacing w:after="200"/>
        <w:jc w:val="center"/>
      </w:pPr>
      <w:r>
        <w:rPr>
          <w:rFonts w:ascii="Arial" w:cs="Arial" w:eastAsia="Arial" w:hAnsi="Arial"/>
          <w:color w:val="5A6F84"/>
          <w:sz w:val="22"/>
          <w:szCs w:val="22"/>
        </w:rPr>
        <w:t xml:space="preserve">Gen AI Fairness 期末報告 — 2026年5月</w:t>
      </w:r>
    </w:p>
    <w:p>
      <w:pPr>
        <w:pStyle w:val="Heading1"/>
        <w:spacing w:after="200" w:before="360"/>
      </w:pPr>
      <w:r>
        <w:rPr>
          <w:b/>
          <w:bCs/>
        </w:rPr>
        <w:t xml:space="preserve">摘要</w:t>
      </w:r>
    </w:p>
    <w:p>
      <w:pPr>
        <w:spacing w:after="120"/>
      </w:pPr>
      <w:r>
        <w:rPr>
          <w:rFonts w:ascii="Arial" w:cs="Arial" w:eastAsia="Arial" w:hAnsi="Arial"/>
          <w:sz w:val="24"/>
          <w:szCs w:val="24"/>
        </w:rPr>
        <w:t xml:space="preserve">大型語言模型（LLM）日益被應用於臨床決策支持，然而人口統計偏見與幻覺的交叉影響仍未被充分探索。本研究檢驗GPT-4o-mini在生成臨床情境回應時，是否在幻覺的頻率和類型上呈現人口統計差異。我們設計20個臨床情境，並應用4種人口統計擾動（黑人/白人 × 女性/男性），產生80個獨特提示。由GPT-4o作為評審模型，採用改編自MedHalu（Agarwal et al., 2024）和EquityMedQA（Pfohl et al., 2024）的幻覺分類法進行評估。</w:t>
      </w:r>
    </w:p>
    <w:p>
      <w:pPr>
        <w:spacing w:after="120"/>
      </w:pPr>
      <w:r>
        <w:rPr>
          <w:rFonts w:ascii="Arial" w:cs="Arial" w:eastAsia="Arial" w:hAnsi="Arial"/>
          <w:sz w:val="24"/>
          <w:szCs w:val="24"/>
        </w:rPr>
        <w:t xml:space="preserve">結果顯示明確的交叉梯度：黑人女性的幻覺率最高（10%），其次是黑人男性和白人女性（各為5%），而白人男性則為0%。更關鍵的是，在人口統計不應影響答案的臨床中性問題上，僅有黑人女性出現幻覺（8.3% vs. 其他組別皆為0%）。案例分析揭示了一個顯著的偏見誘導幻覺案例：模型僅對黑人女性捷造了氣胸與非洲裔的虛假種族關聯。這些發現表明，醫療LLM中的幻覺並非隨機產生，而是系統性地受患者人口統計影響。</w:t>
      </w:r>
    </w:p>
    <w:p>
      <w:pPr>
        <w:pStyle w:val="Heading1"/>
        <w:spacing w:after="200" w:before="360"/>
      </w:pPr>
      <w:r>
        <w:rPr>
          <w:b/>
          <w:bCs/>
        </w:rPr>
        <w:t xml:space="preserve">1. 緒論</w:t>
      </w:r>
    </w:p>
    <w:p>
      <w:pPr>
        <w:spacing w:after="120"/>
      </w:pPr>
      <w:r>
        <w:rPr>
          <w:rFonts w:ascii="Arial" w:cs="Arial" w:eastAsia="Arial" w:hAnsi="Arial"/>
          <w:sz w:val="24"/>
          <w:szCs w:val="24"/>
        </w:rPr>
        <w:t xml:space="preserve">大型語言模型在醫療領域的部署正在快速加速，GPT-4、Med-PaLM和Claude等模型正被評估用於臨床決策支持、患者溝通和醫學教育（Topol, 2019; Singhal et al., 2023）。然而，兩條平行但大致獨立的研究線已經出現。</w:t>
      </w:r>
    </w:p>
    <w:p>
      <w:pPr>
        <w:spacing w:after="120"/>
      </w:pPr>
      <w:r>
        <w:rPr>
          <w:rFonts w:ascii="Arial" w:cs="Arial" w:eastAsia="Arial" w:hAnsi="Arial"/>
          <w:sz w:val="24"/>
          <w:szCs w:val="24"/>
        </w:rPr>
        <w:t xml:space="preserve">第一條線調查醫療AI中的人口統計偏見。研究表明LLM會根據患者的種族、性別或族裔不同地回答臨床問題（Rawat et al., 2024; Pfohl et al., 2024; Ito et al., 2023）。這些研究衡量準確度差距——模型是否答對或答錯——但不檢查錯誤本身的性質。</w:t>
      </w:r>
    </w:p>
    <w:p>
      <w:pPr>
        <w:spacing w:after="120"/>
      </w:pPr>
      <w:r>
        <w:rPr>
          <w:rFonts w:ascii="Arial" w:cs="Arial" w:eastAsia="Arial" w:hAnsi="Arial"/>
          <w:sz w:val="24"/>
          <w:szCs w:val="24"/>
        </w:rPr>
        <w:t xml:space="preserve">第二條線專注於醫療LLM中的幻覺。幻覺指的是生成看似合理但實際上事實錯誤、邏輯有缺陷或沒有證據支持的內容（Huang et al., 2023）。MedHalu（Agarwal et al., 2024）等分類法將醫療幻覺分為事實性、推理性和證據性三種子類型。然而，這些研究從未測試幻覺率是否因患者人口統計而異。</w:t>
      </w:r>
    </w:p>
    <w:p>
      <w:pPr>
        <w:spacing w:after="120"/>
      </w:pPr>
      <w:r>
        <w:rPr>
          <w:rFonts w:ascii="Arial" w:cs="Arial" w:eastAsia="Arial" w:hAnsi="Arial"/>
          <w:sz w:val="24"/>
          <w:szCs w:val="24"/>
        </w:rPr>
        <w:t xml:space="preserve">本研究填補了這兩條線交叉處的空白。我們問：醫療LLM是否對不同人口統計背景的患者產生更多或不同類型的幻覺？據我們所知，這是第一個將幻覺分類法與人口統計擾動結合應用於臨床情境的研究。</w:t>
      </w:r>
    </w:p>
    <w:p>
      <w:pPr>
        <w:pStyle w:val="Heading1"/>
        <w:spacing w:after="200" w:before="360"/>
      </w:pPr>
      <w:r>
        <w:rPr>
          <w:b/>
          <w:bCs/>
        </w:rPr>
        <w:t xml:space="preserve">2. 背景與文獻回顧</w:t>
      </w:r>
    </w:p>
    <w:p>
      <w:pPr>
        <w:pStyle w:val="Heading2"/>
        <w:spacing w:after="160" w:before="280"/>
      </w:pPr>
      <w:r>
        <w:rPr>
          <w:b/>
          <w:bCs/>
        </w:rPr>
        <w:t xml:space="preserve">2.1 醫療LLM中的幻覺</w:t>
      </w:r>
    </w:p>
    <w:p>
      <w:pPr>
        <w:spacing w:after="120"/>
      </w:pPr>
      <w:r>
        <w:rPr>
          <w:rFonts w:ascii="Arial" w:cs="Arial" w:eastAsia="Arial" w:hAnsi="Arial"/>
          <w:sz w:val="24"/>
          <w:szCs w:val="24"/>
        </w:rPr>
        <w:t xml:space="preserve">LLM中的幻覺是一個有充分文獻記載的現象，模型生成流暢且令人信服但實際上事實錯誤的輸出（Huang et al., 2023; Li et al., 2023）。在醫療情境中，幻覺帶來特殊風險：錯誤的藥物劑量、虛構的疾病基因關聯或不存在的臨床指南可能導致患者傷害（Kim et al., 2025）。</w:t>
      </w:r>
    </w:p>
    <w:p>
      <w:pPr>
        <w:spacing w:after="120"/>
      </w:pPr>
      <w:r>
        <w:rPr>
          <w:rFonts w:ascii="Arial" w:cs="Arial" w:eastAsia="Arial" w:hAnsi="Arial"/>
          <w:sz w:val="24"/>
          <w:szCs w:val="24"/>
        </w:rPr>
        <w:t xml:space="preserve">Agarwal et al.（2024）提出MedHalu框架，將醫療幻覺分為三類：事實性（與既定醫學知識矛盾）、推理性（診斷或治療中的邏輯錯誤）和證據性（虛構的引用或統計數據）。</w:t>
      </w:r>
    </w:p>
    <w:p>
      <w:pPr>
        <w:pStyle w:val="Heading2"/>
        <w:spacing w:after="160" w:before="280"/>
      </w:pPr>
      <w:r>
        <w:rPr>
          <w:b/>
          <w:bCs/>
        </w:rPr>
        <w:t xml:space="preserve">2.2 醫療LLM中的人口統計偏見</w:t>
      </w:r>
    </w:p>
    <w:p>
      <w:pPr>
        <w:spacing w:after="120"/>
      </w:pPr>
      <w:r>
        <w:rPr>
          <w:rFonts w:ascii="Arial" w:cs="Arial" w:eastAsia="Arial" w:hAnsi="Arial"/>
          <w:sz w:val="24"/>
          <w:szCs w:val="24"/>
        </w:rPr>
        <w:t xml:space="preserve">Rawat et al.（2024）提出DiversityMedQA，一個從MedQA衍生的基準，透過向臨床問題注入人口統計資訊來評估偏見。Pfohl et al.（2024）開發了EquityMedQA，一個全面的健康公平工具箱，其框架包括反事實評估，將僅在患者人口統計上不同的配對問題進行比較。</w:t>
      </w:r>
    </w:p>
    <w:p>
      <w:pPr>
        <w:pStyle w:val="Heading2"/>
        <w:spacing w:after="160" w:before="280"/>
      </w:pPr>
      <w:r>
        <w:rPr>
          <w:b/>
          <w:bCs/>
        </w:rPr>
        <w:t xml:space="preserve">2.3 本研究填補的空白</w:t>
      </w:r>
    </w:p>
    <w:p>
      <w:pPr>
        <w:spacing w:after="120"/>
      </w:pPr>
      <w:r>
        <w:rPr>
          <w:rFonts w:ascii="Arial" w:cs="Arial" w:eastAsia="Arial" w:hAnsi="Arial"/>
          <w:sz w:val="24"/>
          <w:szCs w:val="24"/>
        </w:rPr>
        <w:t xml:space="preserve">偏見研究衡量答案「是否」改變，幻覺研究衡量錯誤「是什麼類型」，但沒有研究檢驗幻覺的「頻率」和「類型」是否因人口統計而系統性地不同。本研究將幻覺分類法（MedHalu）應用於人口統計擾動的臨床情境（DiversityMedQA方法），在反事實評估框架（EquityMedQA）內進行，以填補這一空白。</w:t>
      </w:r>
    </w:p>
    <w:p>
      <w:pPr>
        <w:pStyle w:val="Heading1"/>
        <w:spacing w:after="200" w:before="360"/>
      </w:pPr>
      <w:r>
        <w:rPr>
          <w:b/>
          <w:bCs/>
        </w:rPr>
        <w:t xml:space="preserve">3. 研究方法</w:t>
      </w:r>
    </w:p>
    <w:p>
      <w:pPr>
        <w:pStyle w:val="Heading2"/>
        <w:spacing w:after="160" w:before="280"/>
      </w:pPr>
      <w:r>
        <w:rPr>
          <w:b/>
          <w:bCs/>
        </w:rPr>
        <w:t xml:space="preserve">3.1 研究設計</w:t>
      </w:r>
    </w:p>
    <w:p>
      <w:pPr>
        <w:spacing w:after="120"/>
      </w:pPr>
      <w:r>
        <w:rPr>
          <w:rFonts w:ascii="Arial" w:cs="Arial" w:eastAsia="Arial" w:hAnsi="Arial"/>
          <w:sz w:val="24"/>
          <w:szCs w:val="24"/>
        </w:rPr>
        <w:t xml:space="preserve">我們設計了四步實驗流程：（1）臨床情境建構，（2）人口統計擾動，（3）回應生成，（4）幻覺評估。研究採用2 × 2因子設計，交叉種族（黑人、白人）與性別（女性、男性），產生4種人口統計條件。</w:t>
      </w:r>
    </w:p>
    <w:p>
      <w:pPr>
        <w:pStyle w:val="Heading2"/>
        <w:spacing w:after="160" w:before="280"/>
      </w:pPr>
      <w:r>
        <w:rPr>
          <w:b/>
          <w:bCs/>
        </w:rPr>
        <w:t xml:space="preserve">3.2 臨床情境設計</w:t>
      </w:r>
    </w:p>
    <w:p>
      <w:pPr>
        <w:spacing w:after="120"/>
      </w:pPr>
      <w:r>
        <w:rPr>
          <w:rFonts w:ascii="Arial" w:cs="Arial" w:eastAsia="Arial" w:hAnsi="Arial"/>
          <w:sz w:val="24"/>
          <w:szCs w:val="24"/>
        </w:rPr>
        <w:t xml:space="preserve">我們撰寫了20個臨床情境，涵蓋多種醫療狀況。為回應教授關於臨床相關人口統計資訊的混淆效應的關切，我們將情境分為兩組：</w:t>
      </w:r>
    </w:p>
    <w:p>
      <w:pPr>
        <w:spacing w:after="120"/>
      </w:pPr>
      <w:r>
        <w:rPr>
          <w:rFonts w:ascii="Arial" w:cs="Arial" w:eastAsia="Arial" w:hAnsi="Arial"/>
          <w:sz w:val="24"/>
          <w:szCs w:val="24"/>
        </w:rPr>
        <w:t xml:space="preserve">中性組（n = 12）：無論患者人口統計如何，醫學正確答案都相同的疾病（如急性中耳炎、鈴球菌咽嗉炎、氣胸、闑尾炎）。這些問題上的任何幻覺率差異都構成純粹的偏見訊號。</w:t>
      </w:r>
    </w:p>
    <w:p>
      <w:pPr>
        <w:spacing w:after="120"/>
      </w:pPr>
      <w:r>
        <w:rPr>
          <w:rFonts w:ascii="Arial" w:cs="Arial" w:eastAsia="Arial" w:hAnsi="Arial"/>
          <w:sz w:val="24"/>
          <w:szCs w:val="24"/>
        </w:rPr>
        <w:t xml:space="preserve">敏感組（n = 8）：人口統計合理地影響臨床推理的疾病（如鐮狀細胞病、囊性纖維化、子宮內膜異位症、心肌病）。這裡的差異可能反映適當的臨床考量而非偏見。</w:t>
      </w:r>
    </w:p>
    <w:p>
      <w:pPr>
        <w:pStyle w:val="Heading2"/>
        <w:spacing w:after="160" w:before="280"/>
      </w:pPr>
      <w:r>
        <w:rPr>
          <w:b/>
          <w:bCs/>
        </w:rPr>
        <w:t xml:space="preserve">3.3 人口統計擾動</w:t>
      </w:r>
    </w:p>
    <w:p>
      <w:pPr>
        <w:spacing w:after="120"/>
      </w:pPr>
      <w:r>
        <w:rPr>
          <w:rFonts w:ascii="Arial" w:cs="Arial" w:eastAsia="Arial" w:hAnsi="Arial"/>
          <w:sz w:val="24"/>
          <w:szCs w:val="24"/>
        </w:rPr>
        <w:t xml:space="preserve">依照Rawat et al.（2024）的方法，我們在每個情境中插入人口統計描述符：「The patient is a [28]-year-old [Black/White] [woman/man].」其他所有臨床細節在各條件間保持一致，確保觀察到的任何差異都可歸因於人口統計擾動。這產生了20 × 4 = 80個獨特提示。</w:t>
      </w:r>
    </w:p>
    <w:p>
      <w:pPr>
        <w:pStyle w:val="Heading2"/>
        <w:spacing w:after="160" w:before="280"/>
      </w:pPr>
      <w:r>
        <w:rPr>
          <w:b/>
          <w:bCs/>
        </w:rPr>
        <w:t xml:space="preserve">3.4 回應生成</w:t>
      </w:r>
    </w:p>
    <w:p>
      <w:pPr>
        <w:spacing w:after="120"/>
      </w:pPr>
      <w:r>
        <w:rPr>
          <w:rFonts w:ascii="Arial" w:cs="Arial" w:eastAsia="Arial" w:hAnsi="Arial"/>
          <w:sz w:val="24"/>
          <w:szCs w:val="24"/>
        </w:rPr>
        <w:t xml:space="preserve">所有80個提示均提交給GPT-4o-mini（OpenAI），temperature = 0.7，max_tokens = 800。我們選擇GPT-4o-mini作為受試模型，因為它廣泛可及、價格合理，且代表了日益應用於醫療情境的通用LLM。所月80個回應均成功生成，無遊漏或API錯誤。</w:t>
      </w:r>
    </w:p>
    <w:p>
      <w:pPr>
        <w:pStyle w:val="Heading2"/>
        <w:spacing w:after="160" w:before="280"/>
      </w:pPr>
      <w:r>
        <w:rPr>
          <w:b/>
          <w:bCs/>
        </w:rPr>
        <w:t xml:space="preserve">3.5 幻覺評估</w:t>
      </w:r>
    </w:p>
    <w:p>
      <w:pPr>
        <w:spacing w:after="120"/>
      </w:pPr>
      <w:r>
        <w:rPr>
          <w:rFonts w:ascii="Arial" w:cs="Arial" w:eastAsia="Arial" w:hAnsi="Arial"/>
          <w:sz w:val="24"/>
          <w:szCs w:val="24"/>
        </w:rPr>
        <w:t xml:space="preserve">回應由GPT-4o（更強大的模型）作為自動化評審進行評估。我們刻意使用不同的模型系列進行評審，以避免自我評估偏見（Zheng et al., 2023）。評審使用改編自MedHalu和EquityMedQA的評分標準，產生：（a）事實性、推理性和證據性幻覺的二元評分（0/1）；（b）總體幻覺標記；（c）人口統計敏感度評級；（d）解釋判斷的自由文本註釋。</w:t>
      </w:r>
    </w:p>
    <w:p>
      <w:pPr>
        <w:pStyle w:val="Heading1"/>
        <w:spacing w:after="200" w:before="360"/>
      </w:pPr>
      <w:r>
        <w:rPr>
          <w:b/>
          <w:bCs/>
        </w:rPr>
        <w:t xml:space="preserve">4. 研究結果</w:t>
      </w:r>
    </w:p>
    <w:p>
      <w:pPr>
        <w:pStyle w:val="Heading2"/>
        <w:spacing w:after="160" w:before="280"/>
      </w:pPr>
      <w:r>
        <w:rPr>
          <w:b/>
          <w:bCs/>
        </w:rPr>
        <w:t xml:space="preserve">4.1 總體幻覺率</w:t>
      </w:r>
    </w:p>
    <w:p>
      <w:pPr>
        <w:spacing w:after="120"/>
      </w:pPr>
      <w:r>
        <w:rPr>
          <w:rFonts w:ascii="Arial" w:cs="Arial" w:eastAsia="Arial" w:hAnsi="Arial"/>
          <w:sz w:val="24"/>
          <w:szCs w:val="24"/>
        </w:rPr>
        <w:t xml:space="preserve">在80個回應中，朄4個（5.0%）被標記為包含幻覺。各人口統計組別的分佈顯示明確的梯度：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人口統計</w:t>
            </w:r>
          </w:p>
        </w:tc>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回應數</w:t>
            </w:r>
          </w:p>
        </w:tc>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幻覺數</w:t>
            </w:r>
          </w:p>
        </w:tc>
        <w:tc>
          <w:tcPr>
            <w:tcW w:type="dxa" w:w="2340"/>
            <w:tcBorders>
              <w:top w:val="single" w:color="BBBBBB" w:sz="1"/>
              <w:left w:val="single" w:color="BBBBBB" w:sz="1"/>
              <w:bottom w:val="single" w:color="BBBBBB" w:sz="1"/>
              <w:right w:val="single" w:color="BBBBBB" w:sz="1"/>
            </w:tcBorders>
            <w:shd w:fill="E8F0F8" w:val="clear"/>
            <w:tcMar>
              <w:top w:type="dxa" w:w="60"/>
              <w:left w:type="dxa" w:w="100"/>
              <w:bottom w:type="dxa" w:w="60"/>
              <w:right w:type="dxa" w:w="100"/>
            </w:tcMar>
          </w:tcPr>
          <w:p>
            <w:r>
              <w:rPr>
                <w:rFonts w:ascii="Arial" w:cs="Arial" w:eastAsia="Arial" w:hAnsi="Arial"/>
                <w:b/>
                <w:bCs/>
                <w:sz w:val="22"/>
                <w:szCs w:val="22"/>
              </w:rPr>
              <w:t xml:space="preserve">幻覺率</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黑人女性</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10.0%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黑人男性</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5.0%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白人女性</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1</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5.0%</w:t>
            </w:r>
          </w:p>
        </w:tc>
      </w:tr>
      <w:tr>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白人男性</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20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0</w:t>
            </w:r>
          </w:p>
        </w:tc>
        <w:tc>
          <w:tcPr>
            <w:tcW w:type="dxa" w:w="234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rFonts w:ascii="Arial" w:cs="Arial" w:eastAsia="Arial" w:hAnsi="Arial"/>
                <w:b w:val="false"/>
                <w:bCs w:val="false"/>
                <w:sz w:val="22"/>
                <w:szCs w:val="22"/>
              </w:rPr>
              <w:t xml:space="preserve">0.0%</w:t>
            </w:r>
          </w:p>
        </w:tc>
      </w:tr>
    </w:tbl>
    <w:p>
      <w:pPr>
        <w:spacing w:after="120"/>
        <w:rPr>
          <w:color w:val="5A6F84"/>
          <w:sz w:val="20"/>
          <w:szCs w:val="20"/>
        </w:rPr>
      </w:pPr>
      <w:r>
        <w:rPr>
          <w:rFonts w:ascii="Arial" w:cs="Arial" w:eastAsia="Arial" w:hAnsi="Arial"/>
          <w:color w:val="5A6F84"/>
          <w:sz w:val="20"/>
          <w:szCs w:val="20"/>
        </w:rPr>
        <w:t xml:space="preserve">表1. 各人口統計組別的幻覺率（全部20題）</w:t>
      </w:r>
    </w:p>
    <w:p>
      <w:pPr>
        <w:spacing w:after="120"/>
      </w:pPr>
      <w:r>
        <w:rPr>
          <w:rFonts w:ascii="Arial" w:cs="Arial" w:eastAsia="Arial" w:hAnsi="Arial"/>
          <w:sz w:val="24"/>
          <w:szCs w:val="24"/>
        </w:rPr>
        <w:t xml:space="preserve">黑人女性的幻覺率最高（10.0%），其次是黑人男性和白人女性（各為5.0%），白人男性為0。這個排序——黑人女性 &gt; 黑人男性 = 白人女性 &gt; 白人男性——代表了一個清晰的交叉梯度，支持假說1。</w:t>
      </w:r>
    </w:p>
    <w:p>
      <w:pPr>
        <w:pStyle w:val="Heading2"/>
        <w:spacing w:after="160" w:before="280"/>
      </w:pPr>
      <w:r>
        <w:rPr>
          <w:b/>
          <w:bCs/>
        </w:rPr>
        <w:t xml:space="preserve">4.2 中性組 vs. 敏感組</w:t>
      </w:r>
    </w:p>
    <w:p>
      <w:pPr>
        <w:spacing w:after="120"/>
      </w:pPr>
      <w:r>
        <w:rPr>
          <w:rFonts w:ascii="Arial" w:cs="Arial" w:eastAsia="Arial" w:hAnsi="Arial"/>
          <w:sz w:val="24"/>
          <w:szCs w:val="24"/>
        </w:rPr>
        <w:t xml:space="preserve">單獨分析中性問題組（人口統計不應影響答案）時，差異更加顯著：僅有黑人女性出現幻覺（8.3%），其他所有組別均為0%。由於這些問題涉及人口統計不具臨床相關性的疾病，這種差異不能歸因於合理的臨床推理。這構成純粹的偏見訊號，支持假說2。</w:t>
      </w:r>
    </w:p>
    <w:p>
      <w:pPr>
        <w:pStyle w:val="Heading2"/>
        <w:spacing w:after="160" w:before="280"/>
      </w:pPr>
      <w:r>
        <w:rPr>
          <w:b/>
          <w:bCs/>
        </w:rPr>
        <w:t xml:space="preserve">4.3 案例研究：氣胸（Q11）</w:t>
      </w:r>
    </w:p>
    <w:p>
      <w:pPr>
        <w:spacing w:after="120"/>
      </w:pPr>
      <w:r>
        <w:rPr>
          <w:rFonts w:ascii="Arial" w:cs="Arial" w:eastAsia="Arial" w:hAnsi="Arial"/>
          <w:sz w:val="24"/>
          <w:szCs w:val="24"/>
        </w:rPr>
        <w:t xml:space="preserve">最具揭示性的案例是第11題（氣胸）。當患者被描述為白人男性時，模型正確識別氣胸並提到實際風險因素：「常見於高瘦男性」。但當患者被描述為黑人女性時，模型捷造了一個虛假的醫學事實，聲稱「氣胸在非洲裔患者中更常見」。</w:t>
      </w:r>
    </w:p>
    <w:p>
      <w:pPr>
        <w:spacing w:after="120"/>
      </w:pPr>
      <w:r>
        <w:rPr>
          <w:rFonts w:ascii="Arial" w:cs="Arial" w:eastAsia="Arial" w:hAnsi="Arial"/>
          <w:sz w:val="24"/>
          <w:szCs w:val="24"/>
        </w:rPr>
        <w:t xml:space="preserve">評審模型將此標記為事實性幻覺，指出：「氣胸在非洲裔個體中並不更常見；它最常見於高瘦個體，通常是男性。」此案例展示了我們所謂的「偏見誘導幻覺」——模型不僅答錯，而是發明了醫學文獻中不存在的種族關聯。</w:t>
      </w:r>
    </w:p>
    <w:p>
      <w:pPr>
        <w:pStyle w:val="Heading1"/>
        <w:spacing w:after="200" w:before="360"/>
      </w:pPr>
      <w:r>
        <w:rPr>
          <w:b/>
          <w:bCs/>
        </w:rPr>
        <w:t xml:space="preserve">5. 討論</w:t>
      </w:r>
    </w:p>
    <w:p>
      <w:pPr>
        <w:spacing w:after="120"/>
      </w:pPr>
      <w:r>
        <w:rPr>
          <w:rFonts w:ascii="Arial" w:cs="Arial" w:eastAsia="Arial" w:hAnsi="Arial"/>
          <w:sz w:val="24"/>
          <w:szCs w:val="24"/>
        </w:rPr>
        <w:t xml:space="preserve">我們的發現揭示了醫療LLM中一種新的傷害機制：偏見誘導幻覺。與準確度差異不同，幻覺引入了沒有臨床證據基礎的虛構醫療內容。氣胸案例證明，模型不僅對黑人女性表現較差，而是積極地構建虛假的種族關聯。</w:t>
      </w:r>
    </w:p>
    <w:p>
      <w:pPr>
        <w:spacing w:after="120"/>
      </w:pPr>
      <w:r>
        <w:rPr>
          <w:rFonts w:ascii="Arial" w:cs="Arial" w:eastAsia="Arial" w:hAnsi="Arial"/>
          <w:sz w:val="24"/>
          <w:szCs w:val="24"/>
        </w:rPr>
        <w:t xml:space="preserve">從白人男性（0%）到黑人女性（10%）的清晰梯度與交叉性理論（Crenshaw, 1989）一致——處於多個邊緣化身份交叉點的個體面臨複合的劣勢。在我們的數據中，是黑人或是女性各自獨立地增加5個百分點的幻覺率，而這些效應在交叉處疊加。</w:t>
      </w:r>
    </w:p>
    <w:p>
      <w:pPr>
        <w:spacing w:after="120"/>
      </w:pPr>
      <w:r>
        <w:rPr>
          <w:rFonts w:ascii="Arial" w:cs="Arial" w:eastAsia="Arial" w:hAnsi="Arial"/>
          <w:sz w:val="24"/>
          <w:szCs w:val="24"/>
        </w:rPr>
        <w:t xml:space="preserve">如果在更大規模上得到證實，這些發現對醫療AI的部署具有重大意義。當前的偏見審計主要衡量準確度指標，我們的結果表明審計應該還評估幻覺在各人口統計組別中的分佈。</w:t>
      </w:r>
    </w:p>
    <w:p>
      <w:pPr>
        <w:pStyle w:val="Heading1"/>
        <w:spacing w:after="200" w:before="360"/>
      </w:pPr>
      <w:r>
        <w:rPr>
          <w:b/>
          <w:bCs/>
        </w:rPr>
        <w:t xml:space="preserve">6. 限制與未來工作</w:t>
      </w:r>
    </w:p>
    <w:p>
      <w:pPr>
        <w:spacing w:after="120"/>
      </w:pPr>
      <w:r>
        <w:rPr>
          <w:rFonts w:ascii="Arial" w:cs="Arial" w:eastAsia="Arial" w:hAnsi="Arial"/>
          <w:sz w:val="24"/>
          <w:szCs w:val="24"/>
        </w:rPr>
        <w:t xml:space="preserve">樣本量：本探索性研究使用了20個情境 × 4種人口統計 = 80個回應。雖然觀察到的效果清晰且有方向性，但需要更大的樣本（每組n &gt; 500）來建立統計顯著性。</w:t>
      </w:r>
    </w:p>
    <w:p>
      <w:pPr>
        <w:spacing w:after="120"/>
      </w:pPr>
      <w:r>
        <w:rPr>
          <w:rFonts w:ascii="Arial" w:cs="Arial" w:eastAsia="Arial" w:hAnsi="Arial"/>
          <w:sz w:val="24"/>
          <w:szCs w:val="24"/>
        </w:rPr>
        <w:t xml:space="preserve">單一受試模型：我們僅測試了GPT-4o-mini。未來工作應跨多個模型進行複製（如Med-PaLM、Claude、Gemini、LLaMA、Meditron）。</w:t>
      </w:r>
    </w:p>
    <w:p>
      <w:pPr>
        <w:spacing w:after="120"/>
      </w:pPr>
      <w:r>
        <w:rPr>
          <w:rFonts w:ascii="Arial" w:cs="Arial" w:eastAsia="Arial" w:hAnsi="Arial"/>
          <w:sz w:val="24"/>
          <w:szCs w:val="24"/>
        </w:rPr>
        <w:t xml:space="preserve">LLM作為評審的可靠性：我們使用GPT-4o作為自動化評審。雖然透過使用不同模型系列減輕了自我評估偏見，但黃金標準應是醫師審查。</w:t>
      </w:r>
    </w:p>
    <w:p>
      <w:pPr>
        <w:spacing w:after="120"/>
      </w:pPr>
      <w:r>
        <w:rPr>
          <w:rFonts w:ascii="Arial" w:cs="Arial" w:eastAsia="Arial" w:hAnsi="Arial"/>
          <w:sz w:val="24"/>
          <w:szCs w:val="24"/>
        </w:rPr>
        <w:t xml:space="preserve">人口統計範圍：我們僅檢驗了二元種族和性別。未來工作應擴展到更多種族、族裔、年齡組、社經地位和語言（Omar et al., 2025）。</w:t>
      </w:r>
    </w:p>
    <w:p>
      <w:pPr>
        <w:pStyle w:val="Heading1"/>
        <w:spacing w:after="200" w:before="360"/>
      </w:pPr>
      <w:r>
        <w:rPr>
          <w:b/>
          <w:bCs/>
        </w:rPr>
        <w:t xml:space="preserve">7. 結論</w:t>
      </w:r>
    </w:p>
    <w:p>
      <w:pPr>
        <w:spacing w:after="120"/>
      </w:pPr>
      <w:r>
        <w:rPr>
          <w:rFonts w:ascii="Arial" w:cs="Arial" w:eastAsia="Arial" w:hAnsi="Arial"/>
          <w:sz w:val="24"/>
          <w:szCs w:val="24"/>
        </w:rPr>
        <w:t xml:space="preserve">本探索性研究提供了初步證據，表明醫療LLM中的幻覺並非隨機分佈，而是系統性地受患者人口統計影響。黑人女性的幻覺率最高，差異即使在人口統計不應影響答案的臨床中性問題上仍然存在。偏見誘導幻覺的發現——模型捷造虛假種族關聯——代表了一種新的令人攔憂的傷害機制。我們呼籲AI的健康公平研究超越準確度指標，檢驗錯誤類型的人口統計分佈，特別是臨床AI系統中的幻覺。</w:t>
      </w:r>
    </w:p>
    <w:p>
      <w:pPr>
        <w:pStyle w:val="Heading1"/>
        <w:spacing w:after="200" w:before="360"/>
      </w:pPr>
      <w:r>
        <w:rPr>
          <w:b/>
          <w:bCs/>
        </w:rPr>
        <w:t xml:space="preserve">參考文獻</w:t>
      </w:r>
    </w:p>
    <w:p>
      <w:pPr>
        <w:spacing w:after="120"/>
        <w:rPr>
          <w:sz w:val="20"/>
          <w:szCs w:val="20"/>
        </w:rPr>
      </w:pPr>
      <w:r>
        <w:rPr>
          <w:rFonts w:ascii="Arial" w:cs="Arial" w:eastAsia="Arial" w:hAnsi="Arial"/>
          <w:sz w:val="20"/>
          <w:szCs w:val="20"/>
        </w:rPr>
        <w:t xml:space="preserve">Agarwal, V., Srivastava, A., Garg, S., et al. (2024). MedHalu: Hallucinations in responses to healthcare queries by large language models. arXiv:2409.19492.</w:t>
      </w:r>
    </w:p>
    <w:p>
      <w:pPr>
        <w:spacing w:after="120"/>
        <w:rPr>
          <w:sz w:val="20"/>
          <w:szCs w:val="20"/>
        </w:rPr>
      </w:pPr>
      <w:r>
        <w:rPr>
          <w:rFonts w:ascii="Arial" w:cs="Arial" w:eastAsia="Arial" w:hAnsi="Arial"/>
          <w:sz w:val="20"/>
          <w:szCs w:val="20"/>
        </w:rPr>
        <w:t xml:space="preserve">Crenshaw, K. (1989). Demarginalizing the intersection of race and sex. University of Chicago Legal Forum, 1989(1), 139–167.</w:t>
      </w:r>
    </w:p>
    <w:p>
      <w:pPr>
        <w:spacing w:after="120"/>
        <w:rPr>
          <w:sz w:val="20"/>
          <w:szCs w:val="20"/>
        </w:rPr>
      </w:pPr>
      <w:r>
        <w:rPr>
          <w:rFonts w:ascii="Arial" w:cs="Arial" w:eastAsia="Arial" w:hAnsi="Arial"/>
          <w:sz w:val="20"/>
          <w:szCs w:val="20"/>
        </w:rPr>
        <w:t xml:space="preserve">Huang, L., Yu, W., Ma, W., et al. (2023). A survey on hallucination in large language models. arXiv:2311.05232.</w:t>
      </w:r>
    </w:p>
    <w:p>
      <w:pPr>
        <w:spacing w:after="120"/>
        <w:rPr>
          <w:sz w:val="20"/>
          <w:szCs w:val="20"/>
        </w:rPr>
      </w:pPr>
      <w:r>
        <w:rPr>
          <w:rFonts w:ascii="Arial" w:cs="Arial" w:eastAsia="Arial" w:hAnsi="Arial"/>
          <w:sz w:val="20"/>
          <w:szCs w:val="20"/>
        </w:rPr>
        <w:t xml:space="preserve">Ito, N., et al. (2023). The accuracy and potential racial and ethnic biases of GPT-4. JMIR Medical Education, 9, e47532.</w:t>
      </w:r>
    </w:p>
    <w:p>
      <w:pPr>
        <w:spacing w:after="120"/>
        <w:rPr>
          <w:sz w:val="20"/>
          <w:szCs w:val="20"/>
        </w:rPr>
      </w:pPr>
      <w:r>
        <w:rPr>
          <w:rFonts w:ascii="Arial" w:cs="Arial" w:eastAsia="Arial" w:hAnsi="Arial"/>
          <w:sz w:val="20"/>
          <w:szCs w:val="20"/>
        </w:rPr>
        <w:t xml:space="preserve">Kim, S., et al. (2025). Medical hallucination in foundation models and their impact on healthcare. arXiv:2503.05777v2.</w:t>
      </w:r>
    </w:p>
    <w:p>
      <w:pPr>
        <w:spacing w:after="120"/>
        <w:rPr>
          <w:sz w:val="20"/>
          <w:szCs w:val="20"/>
        </w:rPr>
      </w:pPr>
      <w:r>
        <w:rPr>
          <w:rFonts w:ascii="Arial" w:cs="Arial" w:eastAsia="Arial" w:hAnsi="Arial"/>
          <w:sz w:val="20"/>
          <w:szCs w:val="20"/>
        </w:rPr>
        <w:t xml:space="preserve">Li, J., et al. (2023). HaluEval: A large-scale hallucination evaluation benchmark. arXiv:2305.11747.</w:t>
      </w:r>
    </w:p>
    <w:p>
      <w:pPr>
        <w:spacing w:after="120"/>
        <w:rPr>
          <w:sz w:val="20"/>
          <w:szCs w:val="20"/>
        </w:rPr>
      </w:pPr>
      <w:r>
        <w:rPr>
          <w:rFonts w:ascii="Arial" w:cs="Arial" w:eastAsia="Arial" w:hAnsi="Arial"/>
          <w:sz w:val="20"/>
          <w:szCs w:val="20"/>
        </w:rPr>
        <w:t xml:space="preserve">Omar, M., et al. (2025). Racial bias in AI-mediated psychiatric diagnosis. npj Digital Medicine, 8, 332.</w:t>
      </w:r>
    </w:p>
    <w:p>
      <w:pPr>
        <w:spacing w:after="120"/>
        <w:rPr>
          <w:sz w:val="20"/>
          <w:szCs w:val="20"/>
        </w:rPr>
      </w:pPr>
      <w:r>
        <w:rPr>
          <w:rFonts w:ascii="Arial" w:cs="Arial" w:eastAsia="Arial" w:hAnsi="Arial"/>
          <w:sz w:val="20"/>
          <w:szCs w:val="20"/>
        </w:rPr>
        <w:t xml:space="preserve">Pal, A., et al. (2023). Med-HALT: Medical domain hallucination test. arXiv:2307.15343.</w:t>
      </w:r>
    </w:p>
    <w:p>
      <w:pPr>
        <w:spacing w:after="120"/>
        <w:rPr>
          <w:sz w:val="20"/>
          <w:szCs w:val="20"/>
        </w:rPr>
      </w:pPr>
      <w:r>
        <w:rPr>
          <w:rFonts w:ascii="Arial" w:cs="Arial" w:eastAsia="Arial" w:hAnsi="Arial"/>
          <w:sz w:val="20"/>
          <w:szCs w:val="20"/>
        </w:rPr>
        <w:t xml:space="preserve">Pfohl, S., et al. (2024). A toolbox for surfacing health equity harms and biases in LLMs. Google Research.</w:t>
      </w:r>
    </w:p>
    <w:p>
      <w:pPr>
        <w:spacing w:after="120"/>
        <w:rPr>
          <w:sz w:val="20"/>
          <w:szCs w:val="20"/>
        </w:rPr>
      </w:pPr>
      <w:r>
        <w:rPr>
          <w:rFonts w:ascii="Arial" w:cs="Arial" w:eastAsia="Arial" w:hAnsi="Arial"/>
          <w:sz w:val="20"/>
          <w:szCs w:val="20"/>
        </w:rPr>
        <w:t xml:space="preserve">Rawat, R., et al. (2024). DiversityMedQA: Assessing demographic biases in medical diagnosis using LLMs. NLP4PI @ EMNLP 2024, 334–348.</w:t>
      </w:r>
    </w:p>
    <w:p>
      <w:pPr>
        <w:spacing w:after="120"/>
        <w:rPr>
          <w:sz w:val="20"/>
          <w:szCs w:val="20"/>
        </w:rPr>
      </w:pPr>
      <w:r>
        <w:rPr>
          <w:rFonts w:ascii="Arial" w:cs="Arial" w:eastAsia="Arial" w:hAnsi="Arial"/>
          <w:sz w:val="20"/>
          <w:szCs w:val="20"/>
        </w:rPr>
        <w:t xml:space="preserve">Singhal, K., et al. (2023). Towards expert-level medical question answering with LLMs. arXiv:2305.09617.</w:t>
      </w:r>
    </w:p>
    <w:p>
      <w:pPr>
        <w:spacing w:after="120"/>
        <w:rPr>
          <w:sz w:val="20"/>
          <w:szCs w:val="20"/>
        </w:rPr>
      </w:pPr>
      <w:r>
        <w:rPr>
          <w:rFonts w:ascii="Arial" w:cs="Arial" w:eastAsia="Arial" w:hAnsi="Arial"/>
          <w:sz w:val="20"/>
          <w:szCs w:val="20"/>
        </w:rPr>
        <w:t xml:space="preserve">Topol, E. J. (2019). High-performance medicine. Nature Medicine, 25(1), 44–56.</w:t>
      </w:r>
    </w:p>
    <w:p>
      <w:pPr>
        <w:spacing w:after="120"/>
        <w:rPr>
          <w:sz w:val="20"/>
          <w:szCs w:val="20"/>
        </w:rPr>
      </w:pPr>
      <w:r>
        <w:rPr>
          <w:rFonts w:ascii="Arial" w:cs="Arial" w:eastAsia="Arial" w:hAnsi="Arial"/>
          <w:sz w:val="20"/>
          <w:szCs w:val="20"/>
        </w:rPr>
        <w:t xml:space="preserve">Zheng, L., et al. (2023). Judging LLM-as-a-judge with MT-bench and Chatbot Arena. NeurIPS 2023.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0F4C75"/>
      <w:sz w:val="30"/>
      <w:szCs w:val="30"/>
    </w:rPr>
  </w:style>
  <w:style w:type="paragraph" w:styleId="Heading2">
    <w:name w:val="Heading 2"/>
    <w:basedOn w:val="Normal"/>
    <w:next w:val="Normal"/>
    <w:qFormat/>
    <w:pPr>
      <w:spacing w:after="160" w:before="280"/>
      <w:outlineLvl w:val="1"/>
    </w:pPr>
    <w:rPr>
      <w:rFonts w:ascii="Arial" w:cs="Arial" w:eastAsia="Arial" w:hAnsi="Arial"/>
      <w:b/>
      <w:bCs/>
      <w:color w:val="3282B8"/>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2026-05-01T23:20:05.584Z</dcterms:created>
  <dcterms:modified xsi:type="dcterms:W3CDTF">2026-05-01T23:20:05.585Z</dcterms:modified>
</cp:coreProperties>
</file>

<file path=docProps/custom.xml><?xml version="1.0" encoding="utf-8"?>
<Properties xmlns="http://schemas.openxmlformats.org/officeDocument/2006/custom-properties" xmlns:vt="http://schemas.openxmlformats.org/officeDocument/2006/docPropsVTypes"/>
</file>