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0F4C75"/>
          <w:sz w:val="32"/>
          <w:szCs w:val="32"/>
        </w:rPr>
        <w:t xml:space="preserve">Intersectional Demographic Disparities</w:t>
      </w:r>
    </w:p>
    <w:p>
      <w:pPr>
        <w:spacing w:after="80"/>
        <w:jc w:val="center"/>
      </w:pPr>
      <w:r>
        <w:rPr>
          <w:rFonts w:ascii="Arial" w:cs="Arial" w:eastAsia="Arial" w:hAnsi="Arial"/>
          <w:b/>
          <w:bCs/>
          <w:color w:val="0F4C75"/>
          <w:sz w:val="32"/>
          <w:szCs w:val="32"/>
        </w:rPr>
        <w:t xml:space="preserve">in Medical LLM Hallucinations</w:t>
      </w:r>
    </w:p>
    <w:p>
      <w:pPr>
        <w:spacing w:after="80"/>
        <w:jc w:val="center"/>
      </w:pPr>
      <w:r>
        <w:rPr>
          <w:rFonts w:ascii="Arial" w:cs="Arial" w:eastAsia="Arial" w:hAnsi="Arial"/>
          <w:color w:val="5A6F84"/>
          <w:sz w:val="24"/>
          <w:szCs w:val="24"/>
        </w:rPr>
        <w:t xml:space="preserve">An Exploratory Study of GPT-4o-mini Clinical Responses</w:t>
      </w:r>
    </w:p>
    <w:p>
      <w:pPr>
        <w:spacing w:after="200"/>
        <w:jc w:val="center"/>
      </w:pPr>
      <w:r>
        <w:rPr>
          <w:rFonts w:ascii="Arial" w:cs="Arial" w:eastAsia="Arial" w:hAnsi="Arial"/>
          <w:color w:val="5A6F84"/>
          <w:sz w:val="22"/>
          <w:szCs w:val="22"/>
        </w:rPr>
        <w:t xml:space="preserve">Gen AI Fairness — Final Project Report — May 2026</w:t>
      </w:r>
    </w:p>
    <w:p>
      <w:pPr>
        <w:pStyle w:val="Heading1"/>
        <w:spacing w:after="200" w:before="360"/>
      </w:pPr>
      <w:r>
        <w:rPr>
          <w:b/>
          <w:bCs/>
        </w:rPr>
        <w:t xml:space="preserve">Abstract</w:t>
      </w:r>
    </w:p>
    <w:p>
      <w:pPr>
        <w:spacing w:after="120"/>
      </w:pPr>
      <w:r>
        <w:rPr>
          <w:rFonts w:ascii="Arial" w:cs="Arial" w:eastAsia="Arial" w:hAnsi="Arial"/>
          <w:sz w:val="24"/>
          <w:szCs w:val="24"/>
        </w:rPr>
        <w:t xml:space="preserve">Large language models (LLMs) are increasingly used in clinical decision support, yet the intersection of demographic bias and hallucination remains underexplored. This study examines whether GPT-4o-mini exhibits demographic disparities in the frequency and type of hallucinations when generating responses to clinical vignettes. We constructed 20 clinical scenarios and applied four demographic perturbations (Black/White × woman/man), yielding 80 unique prompts. Responses were evaluated by GPT-4o using a hallucination taxonomy adapted from MedHalu (Agarwal et al., 2024) and EquityMedQA (Pfohl et al., 2024). Results reveal a clear intersectional gradient: Black women experienced the highest hallucination rate (10%), followed by Black men and White women (5% each), while White men experienced none (0%). Critically, on clinically-neutral questions where demographics should not affect the answer, only Black women showed hallucinations (8.3% vs. 0% for all other groups). A case-level analysis uncovered a striking example of bias-induced hallucination: the model fabricated a false racial association with pneumothorax exclusively for Black women. These findings suggest that hallucination in medical LLMs is not random but systematically patterned by patient demographics, with implications for health equity in AI-assisted clinical care.</w:t>
      </w:r>
    </w:p>
    <w:p>
      <w:pPr>
        <w:pStyle w:val="Heading1"/>
        <w:spacing w:after="200" w:before="360"/>
      </w:pPr>
      <w:r>
        <w:rPr>
          <w:b/>
          <w:bCs/>
        </w:rPr>
        <w:t xml:space="preserve">1. Introduction</w:t>
      </w:r>
    </w:p>
    <w:p>
      <w:pPr>
        <w:spacing w:after="120"/>
      </w:pPr>
      <w:r>
        <w:rPr>
          <w:rFonts w:ascii="Arial" w:cs="Arial" w:eastAsia="Arial" w:hAnsi="Arial"/>
          <w:sz w:val="24"/>
          <w:szCs w:val="24"/>
        </w:rPr>
        <w:t xml:space="preserve">The deployment of large language models in healthcare settings has accelerated rapidly, with models like GPT-4, Med-PaLM, and Claude being evaluated for clinical decision support, patient communication, and medical education (Topol, 2019; Singhal et al., 2023). However, two critical concerns have emerged in parallel but largely independent research streams.</w:t>
      </w:r>
    </w:p>
    <w:p>
      <w:pPr>
        <w:spacing w:after="120"/>
      </w:pPr>
      <w:r>
        <w:rPr>
          <w:rFonts w:ascii="Arial" w:cs="Arial" w:eastAsia="Arial" w:hAnsi="Arial"/>
          <w:sz w:val="24"/>
          <w:szCs w:val="24"/>
        </w:rPr>
        <w:t xml:space="preserve">The first stream investigates demographic bias in medical AI. Studies have demonstrated that LLMs answer clinical questions differently depending on the patient's stated race, gender, or ethnicity (Rawat et al., 2024; Pfohl et al., 2024; Ito et al., 2023). These studies measure accuracy gaps—whether the model gets the answer right or wrong—but do not examine the nature of errors themselves.</w:t>
      </w:r>
    </w:p>
    <w:p>
      <w:pPr>
        <w:spacing w:after="120"/>
      </w:pPr>
      <w:r>
        <w:rPr>
          <w:rFonts w:ascii="Arial" w:cs="Arial" w:eastAsia="Arial" w:hAnsi="Arial"/>
          <w:sz w:val="24"/>
          <w:szCs w:val="24"/>
        </w:rPr>
        <w:t xml:space="preserve">The second stream focuses on hallucination in medical LLMs. Hallucination refers to the generation of content that appears plausible but is factually incorrect, logically flawed, or unsupported by evidence (Huang et al., 2023). Taxonomies such as MedHalu (Agarwal et al., 2024) classify medical hallucinations into factual, reasoning, and evidence subtypes. However, these studies have not tested whether hallucination rates differ across patient demographics.</w:t>
      </w:r>
    </w:p>
    <w:p>
      <w:pPr>
        <w:spacing w:after="120"/>
      </w:pPr>
      <w:r>
        <w:rPr>
          <w:rFonts w:ascii="Arial" w:cs="Arial" w:eastAsia="Arial" w:hAnsi="Arial"/>
          <w:sz w:val="24"/>
          <w:szCs w:val="24"/>
        </w:rPr>
        <w:t xml:space="preserve">This study addresses the gap at the intersection of these two streams. We ask: </w:t>
      </w:r>
      <w:r>
        <w:rPr>
          <w:rFonts w:ascii="Arial" w:cs="Arial" w:eastAsia="Arial" w:hAnsi="Arial"/>
          <w:b/>
          <w:bCs/>
          <w:sz w:val="24"/>
          <w:szCs w:val="24"/>
        </w:rPr>
        <w:t xml:space="preserve">do medical LLMs hallucinate more frequently—or differently—for patients of different demographic backgrounds?</w:t>
      </w:r>
      <w:r>
        <w:rPr>
          <w:rFonts w:ascii="Arial" w:cs="Arial" w:eastAsia="Arial" w:hAnsi="Arial"/>
          <w:sz w:val="24"/>
          <w:szCs w:val="24"/>
        </w:rPr>
        <w:t xml:space="preserve"> To our knowledge, this is the first study to combine hallucination taxonomy with demographic perturbation in clinical vignettes.</w:t>
      </w:r>
    </w:p>
    <w:p>
      <w:pPr>
        <w:pStyle w:val="Heading1"/>
        <w:spacing w:after="200" w:before="360"/>
      </w:pPr>
      <w:r>
        <w:rPr>
          <w:b/>
          <w:bCs/>
        </w:rPr>
        <w:t xml:space="preserve">2. Background and Related Work</w:t>
      </w:r>
    </w:p>
    <w:p>
      <w:pPr>
        <w:pStyle w:val="Heading2"/>
        <w:spacing w:after="160" w:before="280"/>
      </w:pPr>
      <w:r>
        <w:rPr>
          <w:b/>
          <w:bCs/>
        </w:rPr>
        <w:t xml:space="preserve">2.1 Hallucinations in Medical LLMs</w:t>
      </w:r>
    </w:p>
    <w:p>
      <w:pPr>
        <w:spacing w:after="120"/>
      </w:pPr>
      <w:r>
        <w:rPr>
          <w:rFonts w:ascii="Arial" w:cs="Arial" w:eastAsia="Arial" w:hAnsi="Arial"/>
          <w:sz w:val="24"/>
          <w:szCs w:val="24"/>
        </w:rPr>
        <w:t xml:space="preserve">Hallucination in LLMs is a well-documented phenomenon in which models generate outputs that are fluent and convincing but factually incorrect (Huang et al., 2023; Li et al., 2023). In medical contexts, hallucinations pose particular risks: an incorrect drug dosage, a fabricated disease-gene association, or a nonexistent clinical guideline can lead to patient harm (Kim et al., 2025).</w:t>
      </w:r>
    </w:p>
    <w:p>
      <w:pPr>
        <w:spacing w:after="120"/>
      </w:pPr>
      <w:r>
        <w:rPr>
          <w:rFonts w:ascii="Arial" w:cs="Arial" w:eastAsia="Arial" w:hAnsi="Arial"/>
          <w:sz w:val="24"/>
          <w:szCs w:val="24"/>
        </w:rPr>
        <w:t xml:space="preserve">Agarwal et al. (2024) introduced MedHalu, a framework that classifies medical hallucinations into three categories: factual (contradicts established medical knowledge), reasoning (logical errors in diagnosis or treatment), and evidence (fabricated citations or statistics). Pal et al. (2023) developed Med-HALT, a hallucination test for medical LLMs, providing benchmarks for evaluating hallucination severity across models.</w:t>
      </w:r>
    </w:p>
    <w:p>
      <w:pPr>
        <w:pStyle w:val="Heading2"/>
        <w:spacing w:after="160" w:before="280"/>
      </w:pPr>
      <w:r>
        <w:rPr>
          <w:b/>
          <w:bCs/>
        </w:rPr>
        <w:t xml:space="preserve">2.2 Demographic Bias in Medical LLMs</w:t>
      </w:r>
    </w:p>
    <w:p>
      <w:pPr>
        <w:spacing w:after="120"/>
      </w:pPr>
      <w:r>
        <w:rPr>
          <w:rFonts w:ascii="Arial" w:cs="Arial" w:eastAsia="Arial" w:hAnsi="Arial"/>
          <w:sz w:val="24"/>
          <w:szCs w:val="24"/>
        </w:rPr>
        <w:t xml:space="preserve">Research on fairness in medical AI has shown that LLMs exhibit performance disparities across demographic groups. Rawat et al. (2024) introduced DiversityMedQA, a benchmark derived from MedQA that injects demographic information into clinical questions to assess bias. Their method involves inserting a sentence specifying the patient's ethnicity or swapping gender-specific terms, then measuring whether diagnostic accuracy changes.</w:t>
      </w:r>
    </w:p>
    <w:p>
      <w:pPr>
        <w:spacing w:after="120"/>
      </w:pPr>
      <w:r>
        <w:rPr>
          <w:rFonts w:ascii="Arial" w:cs="Arial" w:eastAsia="Arial" w:hAnsi="Arial"/>
          <w:sz w:val="24"/>
          <w:szCs w:val="24"/>
        </w:rPr>
        <w:t xml:space="preserve">Pfohl et al. (2024) developed EquityMedQA, a comprehensive toolbox for surfacing health equity harms in LLMs. Their framework includes counterfactual evaluation, in which matched pairs of questions differing only in patient demographics are compared. Omar et al. (2025) examined racial bias in AI-mediated psychiatric diagnosis, finding that LLMs produce systematically different diagnostic and treatment recommendations based on patient race.</w:t>
      </w:r>
    </w:p>
    <w:p>
      <w:pPr>
        <w:pStyle w:val="Heading2"/>
        <w:spacing w:after="160" w:before="280"/>
      </w:pPr>
      <w:r>
        <w:rPr>
          <w:b/>
          <w:bCs/>
        </w:rPr>
        <w:t xml:space="preserve">2.3 The Gap Our Study Addresses</w:t>
      </w:r>
    </w:p>
    <w:p>
      <w:pPr>
        <w:spacing w:after="120"/>
      </w:pPr>
      <w:r>
        <w:rPr>
          <w:rFonts w:ascii="Arial" w:cs="Arial" w:eastAsia="Arial" w:hAnsi="Arial"/>
          <w:sz w:val="24"/>
          <w:szCs w:val="24"/>
        </w:rPr>
        <w:t xml:space="preserve">While bias research measures </w:t>
      </w:r>
      <w:r>
        <w:rPr>
          <w:rFonts w:ascii="Arial" w:cs="Arial" w:eastAsia="Arial" w:hAnsi="Arial"/>
          <w:sz w:val="24"/>
          <w:szCs w:val="24"/>
        </w:rPr>
        <w:t xml:space="preserve">whether</w:t>
      </w:r>
      <w:r>
        <w:rPr>
          <w:rFonts w:ascii="Arial" w:cs="Arial" w:eastAsia="Arial" w:hAnsi="Arial"/>
          <w:sz w:val="24"/>
          <w:szCs w:val="24"/>
        </w:rPr>
        <w:t xml:space="preserve"> the answer changes, and hallucination research measures </w:t>
      </w:r>
      <w:r>
        <w:rPr>
          <w:rFonts w:ascii="Arial" w:cs="Arial" w:eastAsia="Arial" w:hAnsi="Arial"/>
          <w:sz w:val="24"/>
          <w:szCs w:val="24"/>
        </w:rPr>
        <w:t xml:space="preserve">what kind</w:t>
      </w:r>
      <w:r>
        <w:rPr>
          <w:rFonts w:ascii="Arial" w:cs="Arial" w:eastAsia="Arial" w:hAnsi="Arial"/>
          <w:sz w:val="24"/>
          <w:szCs w:val="24"/>
        </w:rPr>
        <w:t xml:space="preserve"> of error occurs, no study has examined whether hallucination </w:t>
      </w:r>
      <w:r>
        <w:rPr>
          <w:rFonts w:ascii="Arial" w:cs="Arial" w:eastAsia="Arial" w:hAnsi="Arial"/>
          <w:sz w:val="24"/>
          <w:szCs w:val="24"/>
        </w:rPr>
        <w:t xml:space="preserve">rates</w:t>
      </w:r>
      <w:r>
        <w:rPr>
          <w:rFonts w:ascii="Arial" w:cs="Arial" w:eastAsia="Arial" w:hAnsi="Arial"/>
          <w:sz w:val="24"/>
          <w:szCs w:val="24"/>
        </w:rPr>
        <w:t xml:space="preserve"> and </w:t>
      </w:r>
      <w:r>
        <w:rPr>
          <w:rFonts w:ascii="Arial" w:cs="Arial" w:eastAsia="Arial" w:hAnsi="Arial"/>
          <w:sz w:val="24"/>
          <w:szCs w:val="24"/>
        </w:rPr>
        <w:t xml:space="preserve">types</w:t>
      </w:r>
      <w:r>
        <w:rPr>
          <w:rFonts w:ascii="Arial" w:cs="Arial" w:eastAsia="Arial" w:hAnsi="Arial"/>
          <w:sz w:val="24"/>
          <w:szCs w:val="24"/>
        </w:rPr>
        <w:t xml:space="preserve"> differ systematically across demographic groups. Our study bridges this gap by applying hallucination taxonomy (MedHalu) to demographically-perturbed clinical vignettes (DiversityMedQA methodology) within a counterfactual evaluation framework (EquityMedQA).</w:t>
      </w:r>
    </w:p>
    <w:p>
      <w:pPr>
        <w:pStyle w:val="Heading1"/>
        <w:spacing w:after="200" w:before="360"/>
      </w:pPr>
      <w:r>
        <w:rPr>
          <w:b/>
          <w:bCs/>
        </w:rPr>
        <w:t xml:space="preserve">3. Methodology</w:t>
      </w:r>
    </w:p>
    <w:p>
      <w:pPr>
        <w:pStyle w:val="Heading2"/>
        <w:spacing w:after="160" w:before="280"/>
      </w:pPr>
      <w:r>
        <w:rPr>
          <w:b/>
          <w:bCs/>
        </w:rPr>
        <w:t xml:space="preserve">3.1 Study Design</w:t>
      </w:r>
    </w:p>
    <w:p>
      <w:pPr>
        <w:spacing w:after="120"/>
      </w:pPr>
      <w:r>
        <w:rPr>
          <w:rFonts w:ascii="Arial" w:cs="Arial" w:eastAsia="Arial" w:hAnsi="Arial"/>
          <w:sz w:val="24"/>
          <w:szCs w:val="24"/>
        </w:rPr>
        <w:t xml:space="preserve">We designed a four-step experimental pipeline: (1) vignette construction, (2) demographic perturbation, (3) response generation, and (4) hallucination evaluation. The study used a 2 × 2 factorial design crossing race (Black, White) with gender (woman, man), yielding four demographic conditions applied to each vignette.</w:t>
      </w:r>
    </w:p>
    <w:p>
      <w:pPr>
        <w:pStyle w:val="Heading2"/>
        <w:spacing w:after="160" w:before="280"/>
      </w:pPr>
      <w:r>
        <w:rPr>
          <w:b/>
          <w:bCs/>
        </w:rPr>
        <w:t xml:space="preserve">3.2 Clinical Vignettes</w:t>
      </w:r>
    </w:p>
    <w:p>
      <w:pPr>
        <w:spacing w:after="120"/>
      </w:pPr>
      <w:r>
        <w:rPr>
          <w:rFonts w:ascii="Arial" w:cs="Arial" w:eastAsia="Arial" w:hAnsi="Arial"/>
          <w:sz w:val="24"/>
          <w:szCs w:val="24"/>
        </w:rPr>
        <w:t xml:space="preserve">We authored 20 clinical vignettes covering a range of medical conditions. Each vignette describes a patient presenting with specific symptoms and asks the model for a differential diagnosis and management plan. To address concerns raised by our instructor regarding the confounding effect of clinically-relevant demographic information, we split our vignettes into two sets:</w:t>
      </w:r>
    </w:p>
    <w:p>
      <w:pPr>
        <w:spacing w:after="120"/>
      </w:pPr>
      <w:r>
        <w:rPr>
          <w:rFonts w:ascii="Arial" w:cs="Arial" w:eastAsia="Arial" w:hAnsi="Arial"/>
          <w:b/>
          <w:bCs/>
          <w:sz w:val="24"/>
          <w:szCs w:val="24"/>
        </w:rPr>
        <w:t xml:space="preserve">Neutral set (n = 12):</w:t>
      </w:r>
      <w:r>
        <w:rPr>
          <w:rFonts w:ascii="Arial" w:cs="Arial" w:eastAsia="Arial" w:hAnsi="Arial"/>
          <w:sz w:val="24"/>
          <w:szCs w:val="24"/>
        </w:rPr>
        <w:t xml:space="preserve"> Conditions where the medically correct answer is the same regardless of patient demographics (e.g., acute otitis media, strep throat, pneumothorax, appendicitis). Any disparity in hallucination rates on these questions constitutes a pure bias signal.</w:t>
      </w:r>
    </w:p>
    <w:p>
      <w:pPr>
        <w:spacing w:after="120"/>
      </w:pPr>
      <w:r>
        <w:rPr>
          <w:rFonts w:ascii="Arial" w:cs="Arial" w:eastAsia="Arial" w:hAnsi="Arial"/>
          <w:b/>
          <w:bCs/>
          <w:sz w:val="24"/>
          <w:szCs w:val="24"/>
        </w:rPr>
        <w:t xml:space="preserve">Sensitive set (n = 8):</w:t>
      </w:r>
      <w:r>
        <w:rPr>
          <w:rFonts w:ascii="Arial" w:cs="Arial" w:eastAsia="Arial" w:hAnsi="Arial"/>
          <w:sz w:val="24"/>
          <w:szCs w:val="24"/>
        </w:rPr>
        <w:t xml:space="preserve"> Conditions where demographics legitimately affect clinical reasoning (e.g., sickle cell disease, cystic fibrosis, endometriosis, cardiomyopathy). Disparities here may reflect appropriate clinical considerations rather than bias.</w:t>
      </w:r>
    </w:p>
    <w:p>
      <w:pPr>
        <w:pStyle w:val="Heading2"/>
        <w:spacing w:after="160" w:before="280"/>
      </w:pPr>
      <w:r>
        <w:rPr>
          <w:b/>
          <w:bCs/>
        </w:rPr>
        <w:t xml:space="preserve">3.3 Demographic Perturbation</w:t>
      </w:r>
    </w:p>
    <w:p>
      <w:pPr>
        <w:spacing w:after="120"/>
      </w:pPr>
      <w:r>
        <w:rPr>
          <w:rFonts w:ascii="Arial" w:cs="Arial" w:eastAsia="Arial" w:hAnsi="Arial"/>
          <w:sz w:val="24"/>
          <w:szCs w:val="24"/>
        </w:rPr>
        <w:t xml:space="preserve">Following the methodology of Rawat et al. (2024), we inserted a demographic descriptor into each vignette: "The patient is a [28]-year-old [Black/White] [woman/man]." All other clinical details remained identical across conditions, ensuring that any observed difference in model output is attributable to the demographic perturbation. This yielded 20 × 4 = 80 unique prompts.</w:t>
      </w:r>
    </w:p>
    <w:p>
      <w:pPr>
        <w:pStyle w:val="Heading2"/>
        <w:spacing w:after="160" w:before="280"/>
      </w:pPr>
      <w:r>
        <w:rPr>
          <w:b/>
          <w:bCs/>
        </w:rPr>
        <w:t xml:space="preserve">3.4 Response Generation</w:t>
      </w:r>
    </w:p>
    <w:p>
      <w:pPr>
        <w:spacing w:after="120"/>
      </w:pPr>
      <w:r>
        <w:rPr>
          <w:rFonts w:ascii="Arial" w:cs="Arial" w:eastAsia="Arial" w:hAnsi="Arial"/>
          <w:sz w:val="24"/>
          <w:szCs w:val="24"/>
        </w:rPr>
        <w:t xml:space="preserve">All 80 prompts were submitted to GPT-4o-mini (OpenAI) with temperature = 0.7 and max_tokens = 800. We used GPT-4o-mini as the subject model because it is widely accessible, affordable for a student project, and representative of general-purpose LLMs increasingly used in healthcare contexts. All 80 responses were generated successfully with no omissions or API errors.</w:t>
      </w:r>
    </w:p>
    <w:p>
      <w:pPr>
        <w:pStyle w:val="Heading2"/>
        <w:spacing w:after="160" w:before="280"/>
      </w:pPr>
      <w:r>
        <w:rPr>
          <w:b/>
          <w:bCs/>
        </w:rPr>
        <w:t xml:space="preserve">3.5 Hallucination Evaluation</w:t>
      </w:r>
    </w:p>
    <w:p>
      <w:pPr>
        <w:spacing w:after="120"/>
      </w:pPr>
      <w:r>
        <w:rPr>
          <w:rFonts w:ascii="Arial" w:cs="Arial" w:eastAsia="Arial" w:hAnsi="Arial"/>
          <w:sz w:val="24"/>
          <w:szCs w:val="24"/>
        </w:rPr>
        <w:t xml:space="preserve">Responses were evaluated by GPT-4o (a more capable model) serving as an automated judge. We deliberately used a different model family for judging to avoid self-evaluation bias, following the LLM-as-judge framework established by Zheng et al. (2023). The judge evaluated each response using a rubric adapted from MedHalu (Agarwal et al., 2024) and EquityMedQA (Pfohl et al., 2024), producing:</w:t>
      </w:r>
    </w:p>
    <w:p>
      <w:pPr>
        <w:spacing w:after="120"/>
      </w:pPr>
      <w:r>
        <w:rPr>
          <w:rFonts w:ascii="Arial" w:cs="Arial" w:eastAsia="Arial" w:hAnsi="Arial"/>
          <w:sz w:val="24"/>
          <w:szCs w:val="24"/>
        </w:rPr>
        <w:t xml:space="preserve">(a) Binary ratings (0/1) for factual, reasoning, and evidence hallucination; (b) An overall hallucination flag; (c) A demographic sensitivity rating (low/medium/high); and (d) Free-text notes explaining the judgment.</w:t>
      </w:r>
    </w:p>
    <w:p>
      <w:pPr>
        <w:pStyle w:val="Heading1"/>
        <w:spacing w:after="200" w:before="360"/>
      </w:pPr>
      <w:r>
        <w:rPr>
          <w:b/>
          <w:bCs/>
        </w:rPr>
        <w:t xml:space="preserve">4. Results</w:t>
      </w:r>
    </w:p>
    <w:p>
      <w:pPr>
        <w:pStyle w:val="Heading2"/>
        <w:spacing w:after="160" w:before="280"/>
      </w:pPr>
      <w:r>
        <w:rPr>
          <w:b/>
          <w:bCs/>
        </w:rPr>
        <w:t xml:space="preserve">4.1 Overall Hallucination Rates</w:t>
      </w:r>
    </w:p>
    <w:p>
      <w:pPr>
        <w:spacing w:after="120"/>
      </w:pPr>
      <w:r>
        <w:rPr>
          <w:rFonts w:ascii="Arial" w:cs="Arial" w:eastAsia="Arial" w:hAnsi="Arial"/>
          <w:sz w:val="24"/>
          <w:szCs w:val="24"/>
        </w:rPr>
        <w:t xml:space="preserve">Of the 80 responses, 4 (5.0%) were flagged as containing hallucinations. The distribution across demographic groups revealed a clear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E8F0F8" w:val="clear"/>
            <w:tcMar>
              <w:top w:type="dxa" w:w="60"/>
              <w:left w:type="dxa" w:w="100"/>
              <w:bottom w:type="dxa" w:w="60"/>
              <w:right w:type="dxa" w:w="100"/>
            </w:tcMar>
          </w:tcPr>
          <w:p>
            <w:r>
              <w:rPr>
                <w:rFonts w:ascii="Arial" w:cs="Arial" w:eastAsia="Arial" w:hAnsi="Arial"/>
                <w:b/>
                <w:bCs/>
                <w:sz w:val="22"/>
                <w:szCs w:val="22"/>
              </w:rPr>
              <w:t xml:space="preserve">Demographic</w:t>
            </w:r>
          </w:p>
        </w:tc>
        <w:tc>
          <w:tcPr>
            <w:tcW w:type="dxa" w:w="2340"/>
            <w:tcBorders>
              <w:top w:val="single" w:color="BBBBBB" w:sz="1"/>
              <w:left w:val="single" w:color="BBBBBB" w:sz="1"/>
              <w:bottom w:val="single" w:color="BBBBBB" w:sz="1"/>
              <w:right w:val="single" w:color="BBBBBB" w:sz="1"/>
            </w:tcBorders>
            <w:shd w:fill="E8F0F8" w:val="clear"/>
            <w:tcMar>
              <w:top w:type="dxa" w:w="60"/>
              <w:left w:type="dxa" w:w="100"/>
              <w:bottom w:type="dxa" w:w="60"/>
              <w:right w:type="dxa" w:w="100"/>
            </w:tcMar>
          </w:tcPr>
          <w:p>
            <w:r>
              <w:rPr>
                <w:rFonts w:ascii="Arial" w:cs="Arial" w:eastAsia="Arial" w:hAnsi="Arial"/>
                <w:b/>
                <w:bCs/>
                <w:sz w:val="22"/>
                <w:szCs w:val="22"/>
              </w:rPr>
              <w:t xml:space="preserve">Responses</w:t>
            </w:r>
          </w:p>
        </w:tc>
        <w:tc>
          <w:tcPr>
            <w:tcW w:type="dxa" w:w="2340"/>
            <w:tcBorders>
              <w:top w:val="single" w:color="BBBBBB" w:sz="1"/>
              <w:left w:val="single" w:color="BBBBBB" w:sz="1"/>
              <w:bottom w:val="single" w:color="BBBBBB" w:sz="1"/>
              <w:right w:val="single" w:color="BBBBBB" w:sz="1"/>
            </w:tcBorders>
            <w:shd w:fill="E8F0F8" w:val="clear"/>
            <w:tcMar>
              <w:top w:type="dxa" w:w="60"/>
              <w:left w:type="dxa" w:w="100"/>
              <w:bottom w:type="dxa" w:w="60"/>
              <w:right w:type="dxa" w:w="100"/>
            </w:tcMar>
          </w:tcPr>
          <w:p>
            <w:r>
              <w:rPr>
                <w:rFonts w:ascii="Arial" w:cs="Arial" w:eastAsia="Arial" w:hAnsi="Arial"/>
                <w:b/>
                <w:bCs/>
                <w:sz w:val="22"/>
                <w:szCs w:val="22"/>
              </w:rPr>
              <w:t xml:space="preserve">Hallucinations</w:t>
            </w:r>
          </w:p>
        </w:tc>
        <w:tc>
          <w:tcPr>
            <w:tcW w:type="dxa" w:w="2340"/>
            <w:tcBorders>
              <w:top w:val="single" w:color="BBBBBB" w:sz="1"/>
              <w:left w:val="single" w:color="BBBBBB" w:sz="1"/>
              <w:bottom w:val="single" w:color="BBBBBB" w:sz="1"/>
              <w:right w:val="single" w:color="BBBBBB" w:sz="1"/>
            </w:tcBorders>
            <w:shd w:fill="E8F0F8" w:val="clear"/>
            <w:tcMar>
              <w:top w:type="dxa" w:w="60"/>
              <w:left w:type="dxa" w:w="100"/>
              <w:bottom w:type="dxa" w:w="60"/>
              <w:right w:type="dxa" w:w="100"/>
            </w:tcMar>
          </w:tcPr>
          <w:p>
            <w:r>
              <w:rPr>
                <w:rFonts w:ascii="Arial" w:cs="Arial" w:eastAsia="Arial" w:hAnsi="Arial"/>
                <w:b/>
                <w:bCs/>
                <w:sz w:val="22"/>
                <w:szCs w:val="22"/>
              </w:rPr>
              <w:t xml:space="preserve">Rate</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Black woman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10.0%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Black man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1</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5.0%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White woman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1</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5.0%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White man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0.0%</w:t>
            </w:r>
          </w:p>
        </w:tc>
      </w:tr>
    </w:tbl>
    <w:p>
      <w:pPr>
        <w:spacing w:after="120"/>
        <w:rPr>
          <w:color w:val="5A6F84"/>
          <w:sz w:val="20"/>
          <w:szCs w:val="20"/>
        </w:rPr>
      </w:pPr>
      <w:r>
        <w:rPr>
          <w:rFonts w:ascii="Arial" w:cs="Arial" w:eastAsia="Arial" w:hAnsi="Arial"/>
          <w:color w:val="5A6F84"/>
          <w:sz w:val="20"/>
          <w:szCs w:val="20"/>
        </w:rPr>
        <w:t xml:space="preserve">Table 1. Hallucination rates by patient demographic (all 20 questions).</w:t>
      </w:r>
    </w:p>
    <w:p>
      <w:pPr>
        <w:spacing w:after="120"/>
      </w:pPr>
      <w:r>
        <w:rPr>
          <w:rFonts w:ascii="Arial" w:cs="Arial" w:eastAsia="Arial" w:hAnsi="Arial"/>
          <w:sz w:val="24"/>
          <w:szCs w:val="24"/>
        </w:rPr>
        <w:t xml:space="preserve">Black women experienced the highest hallucination rate (10.0%), followed by Black men and White women (5.0% each). White men experienced </w:t>
      </w:r>
      <w:r>
        <w:rPr>
          <w:rFonts w:ascii="Arial" w:cs="Arial" w:eastAsia="Arial" w:hAnsi="Arial"/>
          <w:b/>
          <w:bCs/>
          <w:sz w:val="24"/>
          <w:szCs w:val="24"/>
        </w:rPr>
        <w:t xml:space="preserve">zero hallucinations</w:t>
      </w:r>
      <w:r>
        <w:rPr>
          <w:rFonts w:ascii="Arial" w:cs="Arial" w:eastAsia="Arial" w:hAnsi="Arial"/>
          <w:sz w:val="24"/>
          <w:szCs w:val="24"/>
        </w:rPr>
        <w:t xml:space="preserve">. This ordering—Black woman &gt; Black man = White woman &gt; White man—represents a clean intersectional gradient consistent with Hypothesis 1.</w:t>
      </w:r>
    </w:p>
    <w:p>
      <w:pPr>
        <w:pStyle w:val="Heading2"/>
        <w:spacing w:after="160" w:before="280"/>
      </w:pPr>
      <w:r>
        <w:rPr>
          <w:b/>
          <w:bCs/>
        </w:rPr>
        <w:t xml:space="preserve">4.2 Neutral vs. Sensitive Question Sets</w:t>
      </w:r>
    </w:p>
    <w:p>
      <w:pPr>
        <w:spacing w:after="120"/>
      </w:pPr>
      <w:r>
        <w:rPr>
          <w:rFonts w:ascii="Arial" w:cs="Arial" w:eastAsia="Arial" w:hAnsi="Arial"/>
          <w:sz w:val="24"/>
          <w:szCs w:val="24"/>
        </w:rPr>
        <w:t xml:space="preserve">When analyzing the neutral question set alone (where demographics should not affect the answer), the disparity becomes even more striking: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E8F0F8" w:val="clear"/>
            <w:tcMar>
              <w:top w:type="dxa" w:w="60"/>
              <w:left w:type="dxa" w:w="100"/>
              <w:bottom w:type="dxa" w:w="60"/>
              <w:right w:type="dxa" w:w="100"/>
            </w:tcMar>
          </w:tcPr>
          <w:p>
            <w:r>
              <w:rPr>
                <w:rFonts w:ascii="Arial" w:cs="Arial" w:eastAsia="Arial" w:hAnsi="Arial"/>
                <w:b/>
                <w:bCs/>
                <w:sz w:val="22"/>
                <w:szCs w:val="22"/>
              </w:rPr>
              <w:t xml:space="preserve">Demographic</w:t>
            </w:r>
          </w:p>
        </w:tc>
        <w:tc>
          <w:tcPr>
            <w:tcW w:type="dxa" w:w="2340"/>
            <w:tcBorders>
              <w:top w:val="single" w:color="BBBBBB" w:sz="1"/>
              <w:left w:val="single" w:color="BBBBBB" w:sz="1"/>
              <w:bottom w:val="single" w:color="BBBBBB" w:sz="1"/>
              <w:right w:val="single" w:color="BBBBBB" w:sz="1"/>
            </w:tcBorders>
            <w:shd w:fill="E8F0F8" w:val="clear"/>
            <w:tcMar>
              <w:top w:type="dxa" w:w="60"/>
              <w:left w:type="dxa" w:w="100"/>
              <w:bottom w:type="dxa" w:w="60"/>
              <w:right w:type="dxa" w:w="100"/>
            </w:tcMar>
          </w:tcPr>
          <w:p>
            <w:r>
              <w:rPr>
                <w:rFonts w:ascii="Arial" w:cs="Arial" w:eastAsia="Arial" w:hAnsi="Arial"/>
                <w:b/>
                <w:bCs/>
                <w:sz w:val="22"/>
                <w:szCs w:val="22"/>
              </w:rPr>
              <w:t xml:space="preserve">Neutral Rate</w:t>
            </w:r>
          </w:p>
        </w:tc>
        <w:tc>
          <w:tcPr>
            <w:tcW w:type="dxa" w:w="2340"/>
            <w:tcBorders>
              <w:top w:val="single" w:color="BBBBBB" w:sz="1"/>
              <w:left w:val="single" w:color="BBBBBB" w:sz="1"/>
              <w:bottom w:val="single" w:color="BBBBBB" w:sz="1"/>
              <w:right w:val="single" w:color="BBBBBB" w:sz="1"/>
            </w:tcBorders>
            <w:shd w:fill="E8F0F8" w:val="clear"/>
            <w:tcMar>
              <w:top w:type="dxa" w:w="60"/>
              <w:left w:type="dxa" w:w="100"/>
              <w:bottom w:type="dxa" w:w="60"/>
              <w:right w:type="dxa" w:w="100"/>
            </w:tcMar>
          </w:tcPr>
          <w:p>
            <w:r>
              <w:rPr>
                <w:rFonts w:ascii="Arial" w:cs="Arial" w:eastAsia="Arial" w:hAnsi="Arial"/>
                <w:b/>
                <w:bCs/>
                <w:sz w:val="22"/>
                <w:szCs w:val="22"/>
              </w:rPr>
              <w:t xml:space="preserve">Sensitive Rate</w:t>
            </w:r>
          </w:p>
        </w:tc>
        <w:tc>
          <w:tcPr>
            <w:tcW w:type="dxa" w:w="2340"/>
            <w:tcBorders>
              <w:top w:val="single" w:color="BBBBBB" w:sz="1"/>
              <w:left w:val="single" w:color="BBBBBB" w:sz="1"/>
              <w:bottom w:val="single" w:color="BBBBBB" w:sz="1"/>
              <w:right w:val="single" w:color="BBBBBB" w:sz="1"/>
            </w:tcBorders>
            <w:shd w:fill="E8F0F8" w:val="clear"/>
            <w:tcMar>
              <w:top w:type="dxa" w:w="60"/>
              <w:left w:type="dxa" w:w="100"/>
              <w:bottom w:type="dxa" w:w="60"/>
              <w:right w:type="dxa" w:w="100"/>
            </w:tcMar>
          </w:tcPr>
          <w:p>
            <w:r>
              <w:rPr>
                <w:rFonts w:ascii="Arial" w:cs="Arial" w:eastAsia="Arial" w:hAnsi="Arial"/>
                <w:b/>
                <w:bCs/>
                <w:sz w:val="22"/>
                <w:szCs w:val="22"/>
              </w:rPr>
              <w:t xml:space="preserve">Overall Rate</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Black woman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8.3%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12.5%</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10.0%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Black man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0.0%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12.5%</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5.0%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White woman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0.0%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12.5%</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5.0%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White man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0.0%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0.0%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0.0%</w:t>
            </w:r>
          </w:p>
        </w:tc>
      </w:tr>
    </w:tbl>
    <w:p>
      <w:pPr>
        <w:spacing w:after="120"/>
        <w:rPr>
          <w:color w:val="5A6F84"/>
          <w:sz w:val="20"/>
          <w:szCs w:val="20"/>
        </w:rPr>
      </w:pPr>
      <w:r>
        <w:rPr>
          <w:rFonts w:ascii="Arial" w:cs="Arial" w:eastAsia="Arial" w:hAnsi="Arial"/>
          <w:color w:val="5A6F84"/>
          <w:sz w:val="20"/>
          <w:szCs w:val="20"/>
        </w:rPr>
        <w:t xml:space="preserve">Table 2. Hallucination rates by question type and demographic.</w:t>
      </w:r>
    </w:p>
    <w:p>
      <w:pPr>
        <w:spacing w:after="120"/>
      </w:pPr>
      <w:r>
        <w:rPr>
          <w:rFonts w:ascii="Arial" w:cs="Arial" w:eastAsia="Arial" w:hAnsi="Arial"/>
          <w:sz w:val="24"/>
          <w:szCs w:val="24"/>
        </w:rPr>
        <w:t xml:space="preserve">On neutral questions, </w:t>
      </w:r>
      <w:r>
        <w:rPr>
          <w:rFonts w:ascii="Arial" w:cs="Arial" w:eastAsia="Arial" w:hAnsi="Arial"/>
          <w:b/>
          <w:bCs/>
          <w:sz w:val="24"/>
          <w:szCs w:val="24"/>
        </w:rPr>
        <w:t xml:space="preserve">only Black women showed hallucinations (8.3%), while all other groups had a rate of 0%.</w:t>
      </w:r>
      <w:r>
        <w:rPr>
          <w:rFonts w:ascii="Arial" w:cs="Arial" w:eastAsia="Arial" w:hAnsi="Arial"/>
          <w:sz w:val="24"/>
          <w:szCs w:val="24"/>
        </w:rPr>
        <w:t xml:space="preserve"> Since these questions involve conditions where demographics are clinically irrelevant (e.g., pneumothorax, appendicitis), this disparity cannot be attributed to legitimate clinical reasoning. This constitutes a pure bias signal, supporting Hypothesis 2.</w:t>
      </w:r>
    </w:p>
    <w:p>
      <w:pPr>
        <w:pStyle w:val="Heading2"/>
        <w:spacing w:after="160" w:before="280"/>
      </w:pPr>
      <w:r>
        <w:rPr>
          <w:b/>
          <w:bCs/>
        </w:rPr>
        <w:t xml:space="preserve">4.3 Hallucination Type Analysis</w:t>
      </w:r>
    </w:p>
    <w:p>
      <w:pPr>
        <w:spacing w:after="120"/>
      </w:pPr>
      <w:r>
        <w:rPr>
          <w:rFonts w:ascii="Arial" w:cs="Arial" w:eastAsia="Arial" w:hAnsi="Arial"/>
          <w:sz w:val="24"/>
          <w:szCs w:val="24"/>
        </w:rPr>
        <w:t xml:space="preserve">On the neutral question set, the sole hallucination affecting Black women was classified as a factual hallucination (8.3% factual rate). No reasoning or evidence hallucinations were observed for any demographic group on neutral questions. This suggests that the bias mechanism operates primarily through the fabrication of false medical facts rather than through logical errors or fabricated citations.</w:t>
      </w:r>
    </w:p>
    <w:p>
      <w:pPr>
        <w:pStyle w:val="Heading2"/>
        <w:spacing w:after="160" w:before="280"/>
      </w:pPr>
      <w:r>
        <w:rPr>
          <w:b/>
          <w:bCs/>
        </w:rPr>
        <w:t xml:space="preserve">4.4 Case Study: Pneumothorax (Q11)</w:t>
      </w:r>
    </w:p>
    <w:p>
      <w:pPr>
        <w:spacing w:after="120"/>
      </w:pPr>
      <w:r>
        <w:rPr>
          <w:rFonts w:ascii="Arial" w:cs="Arial" w:eastAsia="Arial" w:hAnsi="Arial"/>
          <w:sz w:val="24"/>
          <w:szCs w:val="24"/>
        </w:rPr>
        <w:t xml:space="preserve">The most revealing case involved Question 11, a classic pneumothorax presentation. The same clinical scenario was presented with four different demographic labels. For the White man condition, the model correctly identified pneumothorax as the likely diagnosis and noted the established risk factor: "common in tall, thin males." For the Black woman condition, however, the model fabricated a false medical fact, stating that "pneumothorax is more common in patients of African descent due to genetic factors."</w:t>
      </w:r>
    </w:p>
    <w:p>
      <w:pPr>
        <w:spacing w:after="120"/>
      </w:pPr>
      <w:r>
        <w:rPr>
          <w:rFonts w:ascii="Arial" w:cs="Arial" w:eastAsia="Arial" w:hAnsi="Arial"/>
          <w:sz w:val="24"/>
          <w:szCs w:val="24"/>
        </w:rPr>
        <w:t xml:space="preserve">The judge model flagged this as a factual hallucination, noting: </w:t>
      </w:r>
      <w:r>
        <w:rPr>
          <w:rFonts w:ascii="Arial" w:cs="Arial" w:eastAsia="Arial" w:hAnsi="Arial"/>
          <w:sz w:val="24"/>
          <w:szCs w:val="24"/>
        </w:rPr>
        <w:t xml:space="preserve">"Pneumothorax is not more common in individuals of African descent; it is most common in tall, thin individuals, often male."</w:t>
      </w:r>
      <w:r>
        <w:rPr>
          <w:rFonts w:ascii="Arial" w:cs="Arial" w:eastAsia="Arial" w:hAnsi="Arial"/>
          <w:sz w:val="24"/>
          <w:szCs w:val="24"/>
        </w:rPr>
        <w:t xml:space="preserve"> This case exemplifies what we term </w:t>
      </w:r>
      <w:r>
        <w:rPr>
          <w:rFonts w:ascii="Arial" w:cs="Arial" w:eastAsia="Arial" w:hAnsi="Arial"/>
          <w:b/>
          <w:bCs/>
          <w:sz w:val="24"/>
          <w:szCs w:val="24"/>
        </w:rPr>
        <w:t xml:space="preserve">bias-induced hallucination</w:t>
      </w:r>
      <w:r>
        <w:rPr>
          <w:rFonts w:ascii="Arial" w:cs="Arial" w:eastAsia="Arial" w:hAnsi="Arial"/>
          <w:sz w:val="24"/>
          <w:szCs w:val="24"/>
        </w:rPr>
        <w:t xml:space="preserve">—the model did not merely get the answer wrong; it invented a racial association that does not exist in the medical literature, and it did so exclusively for the Black woman condition.</w:t>
      </w:r>
    </w:p>
    <w:p>
      <w:pPr>
        <w:pStyle w:val="Heading1"/>
        <w:spacing w:after="200" w:before="360"/>
      </w:pPr>
      <w:r>
        <w:rPr>
          <w:b/>
          <w:bCs/>
        </w:rPr>
        <w:t xml:space="preserve">5. Discussion</w:t>
      </w:r>
    </w:p>
    <w:p>
      <w:pPr>
        <w:pStyle w:val="Heading2"/>
        <w:spacing w:after="160" w:before="280"/>
      </w:pPr>
      <w:r>
        <w:rPr>
          <w:b/>
          <w:bCs/>
        </w:rPr>
        <w:t xml:space="preserve">5.1 Bias-Induced Hallucination as a Mechanism</w:t>
      </w:r>
    </w:p>
    <w:p>
      <w:pPr>
        <w:spacing w:after="120"/>
      </w:pPr>
      <w:r>
        <w:rPr>
          <w:rFonts w:ascii="Arial" w:cs="Arial" w:eastAsia="Arial" w:hAnsi="Arial"/>
          <w:sz w:val="24"/>
          <w:szCs w:val="24"/>
        </w:rPr>
        <w:t xml:space="preserve">Our findings suggest a novel mechanism of harm in medical LLMs: bias-induced hallucination. Unlike accuracy disparities, where models may be less reliable for certain populations, hallucinations introduce fabricated medical content that has no basis in clinical evidence. The pneumothorax case demonstrates that the model does not simply perform worse for Black women—it actively constructs false racial associations.</w:t>
      </w:r>
    </w:p>
    <w:p>
      <w:pPr>
        <w:spacing w:after="120"/>
      </w:pPr>
      <w:r>
        <w:rPr>
          <w:rFonts w:ascii="Arial" w:cs="Arial" w:eastAsia="Arial" w:hAnsi="Arial"/>
          <w:sz w:val="24"/>
          <w:szCs w:val="24"/>
        </w:rPr>
        <w:t xml:space="preserve">This mechanism is particularly concerning because hallucinations, by definition, are plausible-sounding. A clinician using AI-assisted decision support might not question a statement about demographic risk factors if it is presented with clinical confidence.</w:t>
      </w:r>
    </w:p>
    <w:p>
      <w:pPr>
        <w:pStyle w:val="Heading2"/>
        <w:spacing w:after="160" w:before="280"/>
      </w:pPr>
      <w:r>
        <w:rPr>
          <w:b/>
          <w:bCs/>
        </w:rPr>
        <w:t xml:space="preserve">5.2 Intersectionality in LLM Errors</w:t>
      </w:r>
    </w:p>
    <w:p>
      <w:pPr>
        <w:spacing w:after="120"/>
      </w:pPr>
      <w:r>
        <w:rPr>
          <w:rFonts w:ascii="Arial" w:cs="Arial" w:eastAsia="Arial" w:hAnsi="Arial"/>
          <w:sz w:val="24"/>
          <w:szCs w:val="24"/>
        </w:rPr>
        <w:t xml:space="preserve">The clean gradient from White man (0%) to Black woman (10%) aligns with intersectionality theory (Crenshaw, 1989), which posits that individuals at the intersection of multiple marginalized identities face compounded disadvantage. In our data, being Black or being a woman each independently increases the hallucination rate by 5 percentage points, and these effects combine additively at the intersection.</w:t>
      </w:r>
    </w:p>
    <w:p>
      <w:pPr>
        <w:pStyle w:val="Heading2"/>
        <w:spacing w:after="160" w:before="280"/>
      </w:pPr>
      <w:r>
        <w:rPr>
          <w:b/>
          <w:bCs/>
        </w:rPr>
        <w:t xml:space="preserve">5.3 Implications for Clinical Deployment</w:t>
      </w:r>
    </w:p>
    <w:p>
      <w:pPr>
        <w:spacing w:after="120"/>
      </w:pPr>
      <w:r>
        <w:rPr>
          <w:rFonts w:ascii="Arial" w:cs="Arial" w:eastAsia="Arial" w:hAnsi="Arial"/>
          <w:sz w:val="24"/>
          <w:szCs w:val="24"/>
        </w:rPr>
        <w:t xml:space="preserve">If confirmed at scale, these findings have significant implications for the deployment of LLMs in clinical settings. Current bias audits for medical AI primarily measure accuracy metrics. Our results suggest that audits should also assess the distribution of hallucinations across demographic groups. A model that produces medically correct answers for White men but fabricates racial associations for Black women represents a health equity risk that accuracy-based audits would not capture.</w:t>
      </w:r>
    </w:p>
    <w:p>
      <w:pPr>
        <w:pStyle w:val="Heading1"/>
        <w:spacing w:after="200" w:before="360"/>
      </w:pPr>
      <w:r>
        <w:rPr>
          <w:b/>
          <w:bCs/>
        </w:rPr>
        <w:t xml:space="preserve">6. Limitations and Future Work</w:t>
      </w:r>
    </w:p>
    <w:p>
      <w:pPr>
        <w:spacing w:after="120"/>
      </w:pPr>
      <w:r>
        <w:rPr>
          <w:rFonts w:ascii="Arial" w:cs="Arial" w:eastAsia="Arial" w:hAnsi="Arial"/>
          <w:b/>
          <w:bCs/>
          <w:sz w:val="24"/>
          <w:szCs w:val="24"/>
        </w:rPr>
        <w:t xml:space="preserve">Sample size.</w:t>
      </w:r>
      <w:r>
        <w:rPr>
          <w:rFonts w:ascii="Arial" w:cs="Arial" w:eastAsia="Arial" w:hAnsi="Arial"/>
          <w:sz w:val="24"/>
          <w:szCs w:val="24"/>
        </w:rPr>
        <w:t xml:space="preserve"> This exploratory study used 20 vignettes × 4 demographics = 80 responses, with 12 neutral questions per demographic group. While the observed effect is clean and directional, larger samples (n &gt; 500 per group) are needed to establish statistical significance.</w:t>
      </w:r>
    </w:p>
    <w:p>
      <w:pPr>
        <w:spacing w:after="120"/>
      </w:pPr>
      <w:r>
        <w:rPr>
          <w:rFonts w:ascii="Arial" w:cs="Arial" w:eastAsia="Arial" w:hAnsi="Arial"/>
          <w:b/>
          <w:bCs/>
          <w:sz w:val="24"/>
          <w:szCs w:val="24"/>
        </w:rPr>
        <w:t xml:space="preserve">Single subject model.</w:t>
      </w:r>
      <w:r>
        <w:rPr>
          <w:rFonts w:ascii="Arial" w:cs="Arial" w:eastAsia="Arial" w:hAnsi="Arial"/>
          <w:sz w:val="24"/>
          <w:szCs w:val="24"/>
        </w:rPr>
        <w:t xml:space="preserve"> We tested only GPT-4o-mini. Future work should replicate across multiple models (e.g., Med-PaLM, Claude, Gemini, open-weight models like LLaMA and Meditron) to assess generalizability.</w:t>
      </w:r>
    </w:p>
    <w:p>
      <w:pPr>
        <w:spacing w:after="120"/>
      </w:pPr>
      <w:r>
        <w:rPr>
          <w:rFonts w:ascii="Arial" w:cs="Arial" w:eastAsia="Arial" w:hAnsi="Arial"/>
          <w:b/>
          <w:bCs/>
          <w:sz w:val="24"/>
          <w:szCs w:val="24"/>
        </w:rPr>
        <w:t xml:space="preserve">LLM-as-judge reliability.</w:t>
      </w:r>
      <w:r>
        <w:rPr>
          <w:rFonts w:ascii="Arial" w:cs="Arial" w:eastAsia="Arial" w:hAnsi="Arial"/>
          <w:sz w:val="24"/>
          <w:szCs w:val="24"/>
        </w:rPr>
        <w:t xml:space="preserve"> We used GPT-4o as an automated judge. While we mitigated self-evaluation bias by using a different model family, the gold standard would be physician review. Future studies should incorporate clinician validation.</w:t>
      </w:r>
    </w:p>
    <w:p>
      <w:pPr>
        <w:spacing w:after="120"/>
      </w:pPr>
      <w:r>
        <w:rPr>
          <w:rFonts w:ascii="Arial" w:cs="Arial" w:eastAsia="Arial" w:hAnsi="Arial"/>
          <w:b/>
          <w:bCs/>
          <w:sz w:val="24"/>
          <w:szCs w:val="24"/>
        </w:rPr>
        <w:t xml:space="preserve">Demographic scope.</w:t>
      </w:r>
      <w:r>
        <w:rPr>
          <w:rFonts w:ascii="Arial" w:cs="Arial" w:eastAsia="Arial" w:hAnsi="Arial"/>
          <w:sz w:val="24"/>
          <w:szCs w:val="24"/>
        </w:rPr>
        <w:t xml:space="preserve"> We examined only binary race (Black/White) and gender (woman/man). Future work should extend to additional races, ethnicities, age groups, socioeconomic status, and language (Omar et al., 2025).</w:t>
      </w:r>
    </w:p>
    <w:p>
      <w:pPr>
        <w:spacing w:after="120"/>
      </w:pPr>
      <w:r>
        <w:rPr>
          <w:rFonts w:ascii="Arial" w:cs="Arial" w:eastAsia="Arial" w:hAnsi="Arial"/>
          <w:b/>
          <w:bCs/>
          <w:sz w:val="24"/>
          <w:szCs w:val="24"/>
        </w:rPr>
        <w:t xml:space="preserve">Temperature variability.</w:t>
      </w:r>
      <w:r>
        <w:rPr>
          <w:rFonts w:ascii="Arial" w:cs="Arial" w:eastAsia="Arial" w:hAnsi="Arial"/>
          <w:sz w:val="24"/>
          <w:szCs w:val="24"/>
        </w:rPr>
        <w:t xml:space="preserve"> Each vignette was run once per demographic condition. Repeated sampling at the same temperature would provide estimates of output variability and enable more robust statistical testing.</w:t>
      </w:r>
    </w:p>
    <w:p>
      <w:pPr>
        <w:pStyle w:val="Heading1"/>
        <w:spacing w:after="200" w:before="360"/>
      </w:pPr>
      <w:r>
        <w:rPr>
          <w:b/>
          <w:bCs/>
        </w:rPr>
        <w:t xml:space="preserve">7. Conclusion</w:t>
      </w:r>
    </w:p>
    <w:p>
      <w:pPr>
        <w:spacing w:after="120"/>
      </w:pPr>
      <w:r>
        <w:rPr>
          <w:rFonts w:ascii="Arial" w:cs="Arial" w:eastAsia="Arial" w:hAnsi="Arial"/>
          <w:sz w:val="24"/>
          <w:szCs w:val="24"/>
        </w:rPr>
        <w:t xml:space="preserve">This exploratory study provides preliminary evidence that hallucination in medical LLMs is not randomly distributed but systematically patterned by patient demographics. Black women experienced the highest hallucination rate, with disparities persisting even on clinically-neutral questions where demographics should not affect the answer. The discovery of bias-induced hallucination—in which the model fabricates false racial associations—represents a novel and concerning mechanism of harm. We call for health-equity research in AI to move beyond accuracy metrics and examine the demographic distribution of error types, particularly hallucinations, in clinical AI systems.</w:t>
      </w:r>
    </w:p>
    <w:p>
      <w:pPr>
        <w:pStyle w:val="Heading1"/>
        <w:spacing w:after="200" w:before="360"/>
      </w:pPr>
      <w:r>
        <w:rPr>
          <w:b/>
          <w:bCs/>
        </w:rPr>
        <w:t xml:space="preserve">References</w:t>
      </w:r>
    </w:p>
    <w:p>
      <w:pPr>
        <w:spacing w:after="120"/>
        <w:rPr>
          <w:sz w:val="20"/>
          <w:szCs w:val="20"/>
        </w:rPr>
      </w:pPr>
      <w:r>
        <w:rPr>
          <w:rFonts w:ascii="Arial" w:cs="Arial" w:eastAsia="Arial" w:hAnsi="Arial"/>
          <w:sz w:val="20"/>
          <w:szCs w:val="20"/>
        </w:rPr>
        <w:t xml:space="preserve">Agarwal, V., Srivastava, A., Garg, S., Sharma, A., Singla, P., &amp; Kaur, M. (2024). MedHalu: Hallucinations in responses to healthcare queries by large language models. arXiv preprint arXiv:2409.19492.</w:t>
      </w:r>
    </w:p>
    <w:p>
      <w:pPr>
        <w:spacing w:after="120"/>
        <w:rPr>
          <w:sz w:val="20"/>
          <w:szCs w:val="20"/>
        </w:rPr>
      </w:pPr>
      <w:r>
        <w:rPr>
          <w:rFonts w:ascii="Arial" w:cs="Arial" w:eastAsia="Arial" w:hAnsi="Arial"/>
          <w:sz w:val="20"/>
          <w:szCs w:val="20"/>
        </w:rPr>
        <w:t xml:space="preserve">Crenshaw, K. (1989). Demarginalizing the intersection of race and sex: A Black feminist critique of antidiscrimination doctrine, feminist theory and antiracist politics. University of Chicago Legal Forum, 1989(1), 139–167.</w:t>
      </w:r>
    </w:p>
    <w:p>
      <w:pPr>
        <w:spacing w:after="120"/>
        <w:rPr>
          <w:sz w:val="20"/>
          <w:szCs w:val="20"/>
        </w:rPr>
      </w:pPr>
      <w:r>
        <w:rPr>
          <w:rFonts w:ascii="Arial" w:cs="Arial" w:eastAsia="Arial" w:hAnsi="Arial"/>
          <w:sz w:val="20"/>
          <w:szCs w:val="20"/>
        </w:rPr>
        <w:t xml:space="preserve">Huang, L., Yu, W., Ma, W., Zhong, W., Feng, Z., Wang, H., ... &amp; Liu, T. (2023). A survey on hallucination in large language models: Principles, taxonomy, challenges, and open questions. arXiv preprint arXiv:2311.05232.</w:t>
      </w:r>
    </w:p>
    <w:p>
      <w:pPr>
        <w:spacing w:after="120"/>
        <w:rPr>
          <w:sz w:val="20"/>
          <w:szCs w:val="20"/>
        </w:rPr>
      </w:pPr>
      <w:r>
        <w:rPr>
          <w:rFonts w:ascii="Arial" w:cs="Arial" w:eastAsia="Arial" w:hAnsi="Arial"/>
          <w:sz w:val="20"/>
          <w:szCs w:val="20"/>
        </w:rPr>
        <w:t xml:space="preserve">Ito, N., Kadomatsu, S., Fujisawa, M., et al. (2023). The accuracy and potential racial and ethnic biases of GPT-4 in the diagnosis and triage of health conditions. JMIR Medical Education, 9, e47532.</w:t>
      </w:r>
    </w:p>
    <w:p>
      <w:pPr>
        <w:spacing w:after="120"/>
        <w:rPr>
          <w:sz w:val="20"/>
          <w:szCs w:val="20"/>
        </w:rPr>
      </w:pPr>
      <w:r>
        <w:rPr>
          <w:rFonts w:ascii="Arial" w:cs="Arial" w:eastAsia="Arial" w:hAnsi="Arial"/>
          <w:sz w:val="20"/>
          <w:szCs w:val="20"/>
        </w:rPr>
        <w:t xml:space="preserve">Kim, S., et al. (2025). Medical hallucination in foundation models and their impact on healthcare. arXiv preprint arXiv:2503.05777v2.</w:t>
      </w:r>
    </w:p>
    <w:p>
      <w:pPr>
        <w:spacing w:after="120"/>
        <w:rPr>
          <w:sz w:val="20"/>
          <w:szCs w:val="20"/>
        </w:rPr>
      </w:pPr>
      <w:r>
        <w:rPr>
          <w:rFonts w:ascii="Arial" w:cs="Arial" w:eastAsia="Arial" w:hAnsi="Arial"/>
          <w:sz w:val="20"/>
          <w:szCs w:val="20"/>
        </w:rPr>
        <w:t xml:space="preserve">Li, J., Cheng, X., Zhao, W. X., Nie, J.-Y., &amp; Wen, J.-R. (2023). HaluEval: A large-scale hallucination evaluation benchmark for large language models. arXiv preprint arXiv:2305.11747.</w:t>
      </w:r>
    </w:p>
    <w:p>
      <w:pPr>
        <w:spacing w:after="120"/>
        <w:rPr>
          <w:sz w:val="20"/>
          <w:szCs w:val="20"/>
        </w:rPr>
      </w:pPr>
      <w:r>
        <w:rPr>
          <w:rFonts w:ascii="Arial" w:cs="Arial" w:eastAsia="Arial" w:hAnsi="Arial"/>
          <w:sz w:val="20"/>
          <w:szCs w:val="20"/>
        </w:rPr>
        <w:t xml:space="preserve">Omar, M., et al. (2025). Racial bias in AI-mediated psychiatric diagnosis and treatment: A qualitative comparison of four large language models. npj Digital Medicine, 8, 332.</w:t>
      </w:r>
    </w:p>
    <w:p>
      <w:pPr>
        <w:spacing w:after="120"/>
        <w:rPr>
          <w:sz w:val="20"/>
          <w:szCs w:val="20"/>
        </w:rPr>
      </w:pPr>
      <w:r>
        <w:rPr>
          <w:rFonts w:ascii="Arial" w:cs="Arial" w:eastAsia="Arial" w:hAnsi="Arial"/>
          <w:sz w:val="20"/>
          <w:szCs w:val="20"/>
        </w:rPr>
        <w:t xml:space="preserve">Pal, A., Umapathi, L. K., &amp; Sankarasubbu, M. (2023). Med-HALT: Medical domain hallucination test for large language models. arXiv preprint arXiv:2307.15343.</w:t>
      </w:r>
    </w:p>
    <w:p>
      <w:pPr>
        <w:spacing w:after="120"/>
        <w:rPr>
          <w:sz w:val="20"/>
          <w:szCs w:val="20"/>
        </w:rPr>
      </w:pPr>
      <w:r>
        <w:rPr>
          <w:rFonts w:ascii="Arial" w:cs="Arial" w:eastAsia="Arial" w:hAnsi="Arial"/>
          <w:sz w:val="20"/>
          <w:szCs w:val="20"/>
        </w:rPr>
        <w:t xml:space="preserve">Pfohl, S., et al. (2024). A toolbox for surfacing health equity harms and biases in large language models. Google Research.</w:t>
      </w:r>
    </w:p>
    <w:p>
      <w:pPr>
        <w:spacing w:after="120"/>
        <w:rPr>
          <w:sz w:val="20"/>
          <w:szCs w:val="20"/>
        </w:rPr>
      </w:pPr>
      <w:r>
        <w:rPr>
          <w:rFonts w:ascii="Arial" w:cs="Arial" w:eastAsia="Arial" w:hAnsi="Arial"/>
          <w:sz w:val="20"/>
          <w:szCs w:val="20"/>
        </w:rPr>
        <w:t xml:space="preserve">Rawat, R., McBride, H., Ghosh, R., et al. (2024). DiversityMedQA: A benchmark for assessing demographic biases in medical diagnosis using large language models. In NLP4PI @ EMNLP 2024, pp. 334–348.</w:t>
      </w:r>
    </w:p>
    <w:p>
      <w:pPr>
        <w:spacing w:after="120"/>
        <w:rPr>
          <w:sz w:val="20"/>
          <w:szCs w:val="20"/>
        </w:rPr>
      </w:pPr>
      <w:r>
        <w:rPr>
          <w:rFonts w:ascii="Arial" w:cs="Arial" w:eastAsia="Arial" w:hAnsi="Arial"/>
          <w:sz w:val="20"/>
          <w:szCs w:val="20"/>
        </w:rPr>
        <w:t xml:space="preserve">Singhal, K., Tu, T., Gottweis, J., et al. (2023). Towards expert-level medical question answering with large language models. arXiv preprint arXiv:2305.09617.</w:t>
      </w:r>
    </w:p>
    <w:p>
      <w:pPr>
        <w:spacing w:after="120"/>
        <w:rPr>
          <w:sz w:val="20"/>
          <w:szCs w:val="20"/>
        </w:rPr>
      </w:pPr>
      <w:r>
        <w:rPr>
          <w:rFonts w:ascii="Arial" w:cs="Arial" w:eastAsia="Arial" w:hAnsi="Arial"/>
          <w:sz w:val="20"/>
          <w:szCs w:val="20"/>
        </w:rPr>
        <w:t xml:space="preserve">Topol, E. J. (2019). High-performance medicine: The convergence of human and artificial intelligence. Nature Medicine, 25(1), 44–56.</w:t>
      </w:r>
    </w:p>
    <w:p>
      <w:pPr>
        <w:spacing w:after="120"/>
        <w:rPr>
          <w:sz w:val="20"/>
          <w:szCs w:val="20"/>
        </w:rPr>
      </w:pPr>
      <w:r>
        <w:rPr>
          <w:rFonts w:ascii="Arial" w:cs="Arial" w:eastAsia="Arial" w:hAnsi="Arial"/>
          <w:sz w:val="20"/>
          <w:szCs w:val="20"/>
        </w:rPr>
        <w:t xml:space="preserve">Zheng, L., Chiang, W.-L., Sheng, Y., et al. (2023). Judging LLM-as-a-judge with MT-bench and Chatbot Arena. In NeurIPS 2023.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F4C75"/>
      <w:sz w:val="30"/>
      <w:szCs w:val="30"/>
    </w:rPr>
  </w:style>
  <w:style w:type="paragraph" w:styleId="Heading2">
    <w:name w:val="Heading 2"/>
    <w:basedOn w:val="Normal"/>
    <w:next w:val="Normal"/>
    <w:qFormat/>
    <w:pPr>
      <w:spacing w:after="160" w:before="280"/>
      <w:outlineLvl w:val="1"/>
    </w:pPr>
    <w:rPr>
      <w:rFonts w:ascii="Arial" w:cs="Arial" w:eastAsia="Arial" w:hAnsi="Arial"/>
      <w:b/>
      <w:bCs/>
      <w:color w:val="3282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2026-05-01T23:15:10.320Z</dcterms:created>
  <dcterms:modified xsi:type="dcterms:W3CDTF">2026-05-01T23:15:10.320Z</dcterms:modified>
</cp:coreProperties>
</file>

<file path=docProps/custom.xml><?xml version="1.0" encoding="utf-8"?>
<Properties xmlns="http://schemas.openxmlformats.org/officeDocument/2006/custom-properties" xmlns:vt="http://schemas.openxmlformats.org/officeDocument/2006/docPropsVTypes"/>
</file>